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581"/>
        <w:gridCol w:w="7758"/>
        <w:gridCol w:w="723"/>
      </w:tblGrid>
      <w:tr w:rsidR="007871EF" w:rsidRPr="0061515F" w14:paraId="0F27C7FB" w14:textId="77777777" w:rsidTr="002D1FE9">
        <w:tc>
          <w:tcPr>
            <w:tcW w:w="9062" w:type="dxa"/>
            <w:gridSpan w:val="3"/>
          </w:tcPr>
          <w:p w14:paraId="0F27C7F9" w14:textId="77777777" w:rsidR="007871EF" w:rsidRPr="005600B5" w:rsidRDefault="007871EF" w:rsidP="007871EF">
            <w:pPr>
              <w:jc w:val="center"/>
              <w:rPr>
                <w:rFonts w:cstheme="minorHAnsi"/>
                <w:sz w:val="24"/>
                <w:szCs w:val="24"/>
                <w:lang w:val="fr-BE"/>
              </w:rPr>
            </w:pPr>
            <w:r w:rsidRPr="005600B5">
              <w:rPr>
                <w:rFonts w:cstheme="minorHAnsi"/>
                <w:sz w:val="24"/>
                <w:szCs w:val="24"/>
                <w:lang w:val="fr-BE"/>
              </w:rPr>
              <w:t>CH</w:t>
            </w:r>
            <w:r w:rsidR="00257069" w:rsidRPr="005600B5">
              <w:rPr>
                <w:rFonts w:cstheme="minorHAnsi"/>
                <w:sz w:val="24"/>
                <w:szCs w:val="24"/>
                <w:lang w:val="fr-BE"/>
              </w:rPr>
              <w:t>ECKLIST POURVOI EN CASSATION “ordinaire”</w:t>
            </w:r>
          </w:p>
          <w:p w14:paraId="0F27C7FA" w14:textId="77777777" w:rsidR="007871EF" w:rsidRPr="005600B5" w:rsidRDefault="007871EF" w:rsidP="00257069">
            <w:pPr>
              <w:jc w:val="center"/>
              <w:rPr>
                <w:rFonts w:cstheme="minorHAnsi"/>
                <w:sz w:val="24"/>
                <w:szCs w:val="24"/>
                <w:lang w:val="fr-BE"/>
              </w:rPr>
            </w:pPr>
            <w:r w:rsidRPr="005600B5">
              <w:rPr>
                <w:rFonts w:cstheme="minorHAnsi"/>
                <w:sz w:val="24"/>
                <w:szCs w:val="24"/>
                <w:lang w:val="fr-BE"/>
              </w:rPr>
              <w:t xml:space="preserve">(art. </w:t>
            </w:r>
            <w:r w:rsidR="00283ABD" w:rsidRPr="005600B5">
              <w:rPr>
                <w:rFonts w:cstheme="minorHAnsi"/>
                <w:sz w:val="24"/>
                <w:szCs w:val="24"/>
                <w:lang w:val="fr-BE"/>
              </w:rPr>
              <w:t xml:space="preserve">355, 359 </w:t>
            </w:r>
            <w:r w:rsidR="00257069" w:rsidRPr="005600B5">
              <w:rPr>
                <w:rFonts w:cstheme="minorHAnsi"/>
                <w:sz w:val="24"/>
                <w:szCs w:val="24"/>
                <w:lang w:val="fr-BE"/>
              </w:rPr>
              <w:t>et</w:t>
            </w:r>
            <w:r w:rsidR="00283ABD" w:rsidRPr="005600B5">
              <w:rPr>
                <w:rFonts w:cstheme="minorHAnsi"/>
                <w:sz w:val="24"/>
                <w:szCs w:val="24"/>
                <w:lang w:val="fr-BE"/>
              </w:rPr>
              <w:t xml:space="preserve"> 416 </w:t>
            </w:r>
            <w:r w:rsidR="00257069" w:rsidRPr="005600B5">
              <w:rPr>
                <w:rFonts w:cstheme="minorHAnsi"/>
                <w:sz w:val="24"/>
                <w:szCs w:val="24"/>
                <w:lang w:val="fr-BE"/>
              </w:rPr>
              <w:t>à</w:t>
            </w:r>
            <w:r w:rsidR="00283ABD" w:rsidRPr="005600B5">
              <w:rPr>
                <w:rFonts w:cstheme="minorHAnsi"/>
                <w:sz w:val="24"/>
                <w:szCs w:val="24"/>
                <w:lang w:val="fr-BE"/>
              </w:rPr>
              <w:t xml:space="preserve"> 4</w:t>
            </w:r>
            <w:r w:rsidR="00257069" w:rsidRPr="005600B5">
              <w:rPr>
                <w:rFonts w:cstheme="minorHAnsi"/>
                <w:sz w:val="24"/>
                <w:szCs w:val="24"/>
                <w:lang w:val="fr-BE"/>
              </w:rPr>
              <w:t>39 C.i.cr.</w:t>
            </w:r>
            <w:r w:rsidRPr="005600B5">
              <w:rPr>
                <w:rFonts w:cstheme="minorHAnsi"/>
                <w:sz w:val="24"/>
                <w:szCs w:val="24"/>
                <w:lang w:val="fr-BE"/>
              </w:rPr>
              <w:t>)</w:t>
            </w:r>
          </w:p>
        </w:tc>
      </w:tr>
      <w:tr w:rsidR="007871EF" w:rsidRPr="0061515F" w14:paraId="0F27C7FF" w14:textId="77777777" w:rsidTr="002D1FE9">
        <w:tc>
          <w:tcPr>
            <w:tcW w:w="581" w:type="dxa"/>
          </w:tcPr>
          <w:p w14:paraId="0F27C7FC" w14:textId="77777777" w:rsidR="007871EF" w:rsidRPr="005600B5" w:rsidRDefault="007871EF">
            <w:pPr>
              <w:rPr>
                <w:rFonts w:cstheme="minorHAnsi"/>
                <w:b/>
                <w:sz w:val="24"/>
                <w:szCs w:val="24"/>
              </w:rPr>
            </w:pPr>
            <w:r w:rsidRPr="005600B5">
              <w:rPr>
                <w:rFonts w:cstheme="minorHAnsi"/>
                <w:b/>
                <w:sz w:val="24"/>
                <w:szCs w:val="24"/>
              </w:rPr>
              <w:t>1</w:t>
            </w:r>
          </w:p>
        </w:tc>
        <w:tc>
          <w:tcPr>
            <w:tcW w:w="7758" w:type="dxa"/>
          </w:tcPr>
          <w:p w14:paraId="0F27C7FD" w14:textId="77777777" w:rsidR="007871EF" w:rsidRPr="005600B5" w:rsidRDefault="00257069">
            <w:pPr>
              <w:rPr>
                <w:rFonts w:cstheme="minorHAnsi"/>
                <w:b/>
                <w:sz w:val="24"/>
                <w:szCs w:val="24"/>
                <w:lang w:val="fr-BE"/>
              </w:rPr>
            </w:pPr>
            <w:r w:rsidRPr="005600B5">
              <w:rPr>
                <w:rFonts w:cstheme="minorHAnsi"/>
                <w:b/>
                <w:sz w:val="24"/>
                <w:szCs w:val="24"/>
                <w:lang w:val="fr-BE"/>
              </w:rPr>
              <w:t>En ce qui concerne la décision attaquée</w:t>
            </w:r>
          </w:p>
        </w:tc>
        <w:tc>
          <w:tcPr>
            <w:tcW w:w="723" w:type="dxa"/>
          </w:tcPr>
          <w:p w14:paraId="0F27C7FE" w14:textId="77777777" w:rsidR="007871EF" w:rsidRPr="005600B5" w:rsidRDefault="007871EF">
            <w:pPr>
              <w:rPr>
                <w:lang w:val="fr-BE"/>
              </w:rPr>
            </w:pPr>
          </w:p>
        </w:tc>
      </w:tr>
      <w:tr w:rsidR="007871EF" w:rsidRPr="0061515F" w14:paraId="0F27C804" w14:textId="77777777" w:rsidTr="002D1FE9">
        <w:tc>
          <w:tcPr>
            <w:tcW w:w="581" w:type="dxa"/>
          </w:tcPr>
          <w:p w14:paraId="0F27C800" w14:textId="77777777" w:rsidR="007871EF" w:rsidRPr="005600B5" w:rsidRDefault="007871EF">
            <w:pPr>
              <w:rPr>
                <w:rFonts w:cstheme="minorHAnsi"/>
                <w:sz w:val="24"/>
                <w:szCs w:val="24"/>
              </w:rPr>
            </w:pPr>
            <w:r w:rsidRPr="005600B5">
              <w:rPr>
                <w:rFonts w:cstheme="minorHAnsi"/>
                <w:sz w:val="24"/>
                <w:szCs w:val="24"/>
              </w:rPr>
              <w:t>1.1</w:t>
            </w:r>
          </w:p>
        </w:tc>
        <w:tc>
          <w:tcPr>
            <w:tcW w:w="7758" w:type="dxa"/>
          </w:tcPr>
          <w:p w14:paraId="0F27C801" w14:textId="77777777" w:rsidR="007871EF" w:rsidRPr="005600B5" w:rsidRDefault="00257069">
            <w:pPr>
              <w:rPr>
                <w:rFonts w:cstheme="minorHAnsi"/>
                <w:sz w:val="24"/>
                <w:szCs w:val="24"/>
                <w:lang w:val="fr-BE"/>
              </w:rPr>
            </w:pPr>
            <w:r w:rsidRPr="005600B5">
              <w:rPr>
                <w:rFonts w:cstheme="minorHAnsi"/>
                <w:sz w:val="24"/>
                <w:szCs w:val="24"/>
                <w:lang w:val="fr-BE"/>
              </w:rPr>
              <w:t>Est-ce que la décision attaqué</w:t>
            </w:r>
            <w:r w:rsidR="00192060" w:rsidRPr="005600B5">
              <w:rPr>
                <w:rFonts w:cstheme="minorHAnsi"/>
                <w:sz w:val="24"/>
                <w:szCs w:val="24"/>
                <w:lang w:val="fr-BE"/>
              </w:rPr>
              <w:t>e</w:t>
            </w:r>
            <w:r w:rsidRPr="005600B5">
              <w:rPr>
                <w:rFonts w:cstheme="minorHAnsi"/>
                <w:sz w:val="24"/>
                <w:szCs w:val="24"/>
                <w:lang w:val="fr-BE"/>
              </w:rPr>
              <w:t xml:space="preserve"> est une décision judiciaire rendue en dernier ressort </w:t>
            </w:r>
            <w:r w:rsidR="007871EF" w:rsidRPr="005600B5">
              <w:rPr>
                <w:rFonts w:cstheme="minorHAnsi"/>
                <w:sz w:val="24"/>
                <w:szCs w:val="24"/>
                <w:lang w:val="fr-BE"/>
              </w:rPr>
              <w:t xml:space="preserve">? </w:t>
            </w:r>
            <w:r w:rsidRPr="005600B5">
              <w:rPr>
                <w:rFonts w:cstheme="minorHAnsi"/>
                <w:sz w:val="24"/>
                <w:szCs w:val="24"/>
                <w:lang w:val="fr-BE"/>
              </w:rPr>
              <w:t>(art. 418 C.i.cr.</w:t>
            </w:r>
            <w:r w:rsidR="007871EF" w:rsidRPr="005600B5">
              <w:rPr>
                <w:rFonts w:cstheme="minorHAnsi"/>
                <w:sz w:val="24"/>
                <w:szCs w:val="24"/>
                <w:lang w:val="fr-BE"/>
              </w:rPr>
              <w:t>)</w:t>
            </w:r>
          </w:p>
          <w:p w14:paraId="0F27C802" w14:textId="77777777" w:rsidR="00ED2B13" w:rsidRPr="005600B5" w:rsidRDefault="00257069" w:rsidP="00A05D89">
            <w:pPr>
              <w:rPr>
                <w:rFonts w:cstheme="minorHAnsi"/>
                <w:sz w:val="24"/>
                <w:szCs w:val="24"/>
                <w:lang w:val="fr-BE"/>
              </w:rPr>
            </w:pPr>
            <w:r w:rsidRPr="005600B5">
              <w:rPr>
                <w:rFonts w:cstheme="minorHAnsi"/>
                <w:sz w:val="24"/>
                <w:szCs w:val="24"/>
                <w:lang w:val="fr-BE"/>
              </w:rPr>
              <w:t>Contre un arrêt de non-lieu</w:t>
            </w:r>
            <w:r w:rsidR="00192060" w:rsidRPr="005600B5">
              <w:rPr>
                <w:rFonts w:cstheme="minorHAnsi"/>
                <w:sz w:val="24"/>
                <w:szCs w:val="24"/>
                <w:lang w:val="fr-BE"/>
              </w:rPr>
              <w:t>,</w:t>
            </w:r>
            <w:r w:rsidRPr="005600B5">
              <w:rPr>
                <w:rFonts w:cstheme="minorHAnsi"/>
                <w:sz w:val="24"/>
                <w:szCs w:val="24"/>
                <w:lang w:val="fr-BE"/>
              </w:rPr>
              <w:t xml:space="preserve"> tant le ministère public que la partie civile peuvent former un pourvoi en cassation </w:t>
            </w:r>
            <w:r w:rsidR="00ED2B13" w:rsidRPr="005600B5">
              <w:rPr>
                <w:rFonts w:cstheme="minorHAnsi"/>
                <w:sz w:val="24"/>
                <w:szCs w:val="24"/>
                <w:lang w:val="fr-BE"/>
              </w:rPr>
              <w:t xml:space="preserve">(art. 417 </w:t>
            </w:r>
            <w:r w:rsidR="00192060" w:rsidRPr="005600B5">
              <w:rPr>
                <w:rFonts w:cstheme="minorHAnsi"/>
                <w:sz w:val="24"/>
                <w:szCs w:val="24"/>
                <w:lang w:val="fr-BE"/>
              </w:rPr>
              <w:t>C.i</w:t>
            </w:r>
            <w:r w:rsidR="00A05D89" w:rsidRPr="005600B5">
              <w:rPr>
                <w:rFonts w:cstheme="minorHAnsi"/>
                <w:sz w:val="24"/>
                <w:szCs w:val="24"/>
                <w:lang w:val="fr-BE"/>
              </w:rPr>
              <w:t>.cr</w:t>
            </w:r>
            <w:r w:rsidR="00ED2B13" w:rsidRPr="005600B5">
              <w:rPr>
                <w:rFonts w:cstheme="minorHAnsi"/>
                <w:sz w:val="24"/>
                <w:szCs w:val="24"/>
                <w:lang w:val="fr-BE"/>
              </w:rPr>
              <w:t>.)</w:t>
            </w:r>
          </w:p>
        </w:tc>
        <w:tc>
          <w:tcPr>
            <w:tcW w:w="723" w:type="dxa"/>
          </w:tcPr>
          <w:p w14:paraId="0F27C803" w14:textId="77777777" w:rsidR="007871EF" w:rsidRPr="005600B5" w:rsidRDefault="007871EF">
            <w:pPr>
              <w:rPr>
                <w:lang w:val="fr-BE"/>
              </w:rPr>
            </w:pPr>
          </w:p>
        </w:tc>
      </w:tr>
      <w:tr w:rsidR="007871EF" w:rsidRPr="0061515F" w14:paraId="0F27C808" w14:textId="77777777" w:rsidTr="002D1FE9">
        <w:tc>
          <w:tcPr>
            <w:tcW w:w="581" w:type="dxa"/>
          </w:tcPr>
          <w:p w14:paraId="0F27C805" w14:textId="77777777" w:rsidR="007871EF" w:rsidRPr="005600B5" w:rsidRDefault="006B1C60">
            <w:pPr>
              <w:rPr>
                <w:rFonts w:cstheme="minorHAnsi"/>
                <w:sz w:val="24"/>
                <w:szCs w:val="24"/>
              </w:rPr>
            </w:pPr>
            <w:r w:rsidRPr="005600B5">
              <w:rPr>
                <w:rFonts w:cstheme="minorHAnsi"/>
                <w:sz w:val="24"/>
                <w:szCs w:val="24"/>
              </w:rPr>
              <w:t>1.2</w:t>
            </w:r>
          </w:p>
        </w:tc>
        <w:tc>
          <w:tcPr>
            <w:tcW w:w="7758" w:type="dxa"/>
          </w:tcPr>
          <w:p w14:paraId="0F27C806" w14:textId="77777777" w:rsidR="007871EF" w:rsidRPr="005600B5" w:rsidRDefault="00192060" w:rsidP="00192060">
            <w:pPr>
              <w:rPr>
                <w:rFonts w:cstheme="minorHAnsi"/>
                <w:sz w:val="24"/>
                <w:szCs w:val="24"/>
                <w:lang w:val="fr-BE"/>
              </w:rPr>
            </w:pPr>
            <w:r w:rsidRPr="005600B5">
              <w:rPr>
                <w:rFonts w:cstheme="minorHAnsi"/>
                <w:sz w:val="24"/>
                <w:szCs w:val="24"/>
                <w:lang w:val="fr-BE"/>
              </w:rPr>
              <w:t xml:space="preserve">Un premier pourvoi en cassation a-t-il déjà été formé contre la décision attaquée </w:t>
            </w:r>
            <w:r w:rsidR="007871EF" w:rsidRPr="005600B5">
              <w:rPr>
                <w:rFonts w:cstheme="minorHAnsi"/>
                <w:sz w:val="24"/>
                <w:szCs w:val="24"/>
                <w:lang w:val="fr-BE"/>
              </w:rPr>
              <w:t xml:space="preserve">? </w:t>
            </w:r>
            <w:r w:rsidR="00A67DD8" w:rsidRPr="005600B5">
              <w:rPr>
                <w:rFonts w:cstheme="minorHAnsi"/>
                <w:sz w:val="24"/>
                <w:szCs w:val="24"/>
                <w:lang w:val="fr-BE"/>
              </w:rPr>
              <w:t xml:space="preserve"> Pourvoi sur pourvoi ne vaut </w:t>
            </w:r>
            <w:r w:rsidR="007871EF" w:rsidRPr="005600B5">
              <w:rPr>
                <w:rFonts w:cstheme="minorHAnsi"/>
                <w:sz w:val="24"/>
                <w:szCs w:val="24"/>
                <w:lang w:val="fr-BE"/>
              </w:rPr>
              <w:t xml:space="preserve">(art. 419 </w:t>
            </w:r>
            <w:r w:rsidRPr="005600B5">
              <w:rPr>
                <w:rFonts w:cstheme="minorHAnsi"/>
                <w:sz w:val="24"/>
                <w:szCs w:val="24"/>
                <w:lang w:val="fr-BE"/>
              </w:rPr>
              <w:t>C.i.cr.). Le cas échéant, se désister du premier pourvoi</w:t>
            </w:r>
          </w:p>
        </w:tc>
        <w:tc>
          <w:tcPr>
            <w:tcW w:w="723" w:type="dxa"/>
          </w:tcPr>
          <w:p w14:paraId="0F27C807" w14:textId="77777777" w:rsidR="007871EF" w:rsidRPr="005600B5" w:rsidRDefault="007871EF">
            <w:pPr>
              <w:rPr>
                <w:lang w:val="fr-BE"/>
              </w:rPr>
            </w:pPr>
          </w:p>
        </w:tc>
      </w:tr>
      <w:tr w:rsidR="007871EF" w:rsidRPr="005600B5" w14:paraId="0F27C80C" w14:textId="77777777" w:rsidTr="002D1FE9">
        <w:tc>
          <w:tcPr>
            <w:tcW w:w="581" w:type="dxa"/>
          </w:tcPr>
          <w:p w14:paraId="0F27C809" w14:textId="77777777" w:rsidR="007871EF" w:rsidRPr="005600B5" w:rsidRDefault="007871EF">
            <w:pPr>
              <w:rPr>
                <w:rFonts w:cstheme="minorHAnsi"/>
                <w:b/>
                <w:sz w:val="24"/>
                <w:szCs w:val="24"/>
              </w:rPr>
            </w:pPr>
            <w:r w:rsidRPr="005600B5">
              <w:rPr>
                <w:rFonts w:cstheme="minorHAnsi"/>
                <w:b/>
                <w:sz w:val="24"/>
                <w:szCs w:val="24"/>
              </w:rPr>
              <w:t>2</w:t>
            </w:r>
          </w:p>
        </w:tc>
        <w:tc>
          <w:tcPr>
            <w:tcW w:w="7758" w:type="dxa"/>
          </w:tcPr>
          <w:p w14:paraId="0F27C80A" w14:textId="77777777" w:rsidR="007871EF" w:rsidRPr="005600B5" w:rsidRDefault="00192060">
            <w:pPr>
              <w:rPr>
                <w:rFonts w:cstheme="minorHAnsi"/>
                <w:b/>
                <w:sz w:val="24"/>
                <w:szCs w:val="24"/>
              </w:rPr>
            </w:pPr>
            <w:proofErr w:type="spellStart"/>
            <w:r w:rsidRPr="005600B5">
              <w:rPr>
                <w:rFonts w:cstheme="minorHAnsi"/>
                <w:b/>
                <w:sz w:val="24"/>
                <w:szCs w:val="24"/>
              </w:rPr>
              <w:t>Pourvoi</w:t>
            </w:r>
            <w:proofErr w:type="spellEnd"/>
            <w:r w:rsidRPr="005600B5">
              <w:rPr>
                <w:rFonts w:cstheme="minorHAnsi"/>
                <w:b/>
                <w:sz w:val="24"/>
                <w:szCs w:val="24"/>
              </w:rPr>
              <w:t xml:space="preserve"> </w:t>
            </w:r>
            <w:proofErr w:type="spellStart"/>
            <w:r w:rsidRPr="005600B5">
              <w:rPr>
                <w:rFonts w:cstheme="minorHAnsi"/>
                <w:b/>
                <w:sz w:val="24"/>
                <w:szCs w:val="24"/>
              </w:rPr>
              <w:t>immédiat</w:t>
            </w:r>
            <w:proofErr w:type="spellEnd"/>
            <w:r w:rsidRPr="005600B5">
              <w:rPr>
                <w:rFonts w:cstheme="minorHAnsi"/>
                <w:b/>
                <w:sz w:val="24"/>
                <w:szCs w:val="24"/>
              </w:rPr>
              <w:t xml:space="preserve"> </w:t>
            </w:r>
            <w:proofErr w:type="spellStart"/>
            <w:r w:rsidRPr="005600B5">
              <w:rPr>
                <w:rFonts w:cstheme="minorHAnsi"/>
                <w:b/>
                <w:sz w:val="24"/>
                <w:szCs w:val="24"/>
              </w:rPr>
              <w:t>ou</w:t>
            </w:r>
            <w:proofErr w:type="spellEnd"/>
            <w:r w:rsidRPr="005600B5">
              <w:rPr>
                <w:rFonts w:cstheme="minorHAnsi"/>
                <w:b/>
                <w:sz w:val="24"/>
                <w:szCs w:val="24"/>
              </w:rPr>
              <w:t xml:space="preserve"> </w:t>
            </w:r>
            <w:proofErr w:type="spellStart"/>
            <w:r w:rsidRPr="005600B5">
              <w:rPr>
                <w:rFonts w:cstheme="minorHAnsi"/>
                <w:b/>
                <w:sz w:val="24"/>
                <w:szCs w:val="24"/>
              </w:rPr>
              <w:t>différé</w:t>
            </w:r>
            <w:proofErr w:type="spellEnd"/>
            <w:r w:rsidRPr="005600B5">
              <w:rPr>
                <w:rFonts w:cstheme="minorHAnsi"/>
                <w:b/>
                <w:sz w:val="24"/>
                <w:szCs w:val="24"/>
              </w:rPr>
              <w:t xml:space="preserve"> </w:t>
            </w:r>
            <w:r w:rsidR="00A67DD8" w:rsidRPr="005600B5">
              <w:rPr>
                <w:rFonts w:cstheme="minorHAnsi"/>
                <w:b/>
                <w:sz w:val="24"/>
                <w:szCs w:val="24"/>
              </w:rPr>
              <w:t>?</w:t>
            </w:r>
          </w:p>
        </w:tc>
        <w:tc>
          <w:tcPr>
            <w:tcW w:w="723" w:type="dxa"/>
          </w:tcPr>
          <w:p w14:paraId="0F27C80B" w14:textId="77777777" w:rsidR="007871EF" w:rsidRPr="005600B5" w:rsidRDefault="007871EF"/>
        </w:tc>
      </w:tr>
      <w:tr w:rsidR="007871EF" w:rsidRPr="0061515F" w14:paraId="0F27C810" w14:textId="77777777" w:rsidTr="002D1FE9">
        <w:tc>
          <w:tcPr>
            <w:tcW w:w="581" w:type="dxa"/>
          </w:tcPr>
          <w:p w14:paraId="0F27C80D" w14:textId="77777777" w:rsidR="007871EF" w:rsidRPr="005600B5" w:rsidRDefault="00A67DD8">
            <w:pPr>
              <w:rPr>
                <w:rFonts w:cstheme="minorHAnsi"/>
                <w:sz w:val="24"/>
                <w:szCs w:val="24"/>
              </w:rPr>
            </w:pPr>
            <w:r w:rsidRPr="005600B5">
              <w:rPr>
                <w:rFonts w:cstheme="minorHAnsi"/>
                <w:sz w:val="24"/>
                <w:szCs w:val="24"/>
              </w:rPr>
              <w:t>2.1</w:t>
            </w:r>
          </w:p>
        </w:tc>
        <w:tc>
          <w:tcPr>
            <w:tcW w:w="7758" w:type="dxa"/>
          </w:tcPr>
          <w:p w14:paraId="0F27C80E" w14:textId="77777777" w:rsidR="007871EF" w:rsidRPr="005600B5" w:rsidRDefault="00192060" w:rsidP="00192060">
            <w:pPr>
              <w:rPr>
                <w:rFonts w:cstheme="minorHAnsi"/>
                <w:sz w:val="24"/>
                <w:szCs w:val="24"/>
                <w:lang w:val="fr-BE"/>
              </w:rPr>
            </w:pPr>
            <w:r w:rsidRPr="005600B5">
              <w:rPr>
                <w:rFonts w:cstheme="minorHAnsi"/>
                <w:sz w:val="24"/>
                <w:szCs w:val="24"/>
                <w:lang w:val="fr-BE"/>
              </w:rPr>
              <w:t xml:space="preserve">Est-ce que la décision attaquée est une décision définitive, à savoir une décision qui épuise la juridiction du juge sur l’action publique ou l’action civile </w:t>
            </w:r>
            <w:r w:rsidR="00A67DD8" w:rsidRPr="005600B5">
              <w:rPr>
                <w:rFonts w:cstheme="minorHAnsi"/>
                <w:sz w:val="24"/>
                <w:szCs w:val="24"/>
                <w:lang w:val="fr-BE"/>
              </w:rPr>
              <w:t>? (art. 420</w:t>
            </w:r>
            <w:r w:rsidR="00FF34E4" w:rsidRPr="005600B5">
              <w:rPr>
                <w:rFonts w:cstheme="minorHAnsi"/>
                <w:sz w:val="24"/>
                <w:szCs w:val="24"/>
                <w:lang w:val="fr-BE"/>
              </w:rPr>
              <w:t xml:space="preserve">, </w:t>
            </w:r>
            <w:r w:rsidRPr="005600B5">
              <w:rPr>
                <w:rFonts w:cstheme="minorHAnsi"/>
                <w:sz w:val="24"/>
                <w:szCs w:val="24"/>
                <w:lang w:val="fr-BE"/>
              </w:rPr>
              <w:t>al. 1er</w:t>
            </w:r>
            <w:r w:rsidR="00FF34E4" w:rsidRPr="005600B5">
              <w:rPr>
                <w:rFonts w:cstheme="minorHAnsi"/>
                <w:sz w:val="24"/>
                <w:szCs w:val="24"/>
                <w:lang w:val="fr-BE"/>
              </w:rPr>
              <w:t>,</w:t>
            </w:r>
            <w:r w:rsidR="00A67DD8" w:rsidRPr="005600B5">
              <w:rPr>
                <w:rFonts w:cstheme="minorHAnsi"/>
                <w:sz w:val="24"/>
                <w:szCs w:val="24"/>
                <w:lang w:val="fr-BE"/>
              </w:rPr>
              <w:t xml:space="preserve"> </w:t>
            </w:r>
            <w:r w:rsidRPr="005600B5">
              <w:rPr>
                <w:rFonts w:cstheme="minorHAnsi"/>
                <w:sz w:val="24"/>
                <w:szCs w:val="24"/>
                <w:lang w:val="fr-BE"/>
              </w:rPr>
              <w:t>C.i.cr</w:t>
            </w:r>
            <w:r w:rsidR="00A67DD8" w:rsidRPr="005600B5">
              <w:rPr>
                <w:rFonts w:cstheme="minorHAnsi"/>
                <w:sz w:val="24"/>
                <w:szCs w:val="24"/>
                <w:lang w:val="fr-BE"/>
              </w:rPr>
              <w:t xml:space="preserve">.): </w:t>
            </w:r>
            <w:r w:rsidRPr="005600B5">
              <w:rPr>
                <w:rFonts w:cstheme="minorHAnsi"/>
                <w:sz w:val="24"/>
                <w:szCs w:val="24"/>
                <w:lang w:val="fr-BE"/>
              </w:rPr>
              <w:t>pourvoi en cassation immédiat</w:t>
            </w:r>
          </w:p>
        </w:tc>
        <w:tc>
          <w:tcPr>
            <w:tcW w:w="723" w:type="dxa"/>
          </w:tcPr>
          <w:p w14:paraId="0F27C80F" w14:textId="77777777" w:rsidR="007871EF" w:rsidRPr="005600B5" w:rsidRDefault="007871EF">
            <w:pPr>
              <w:rPr>
                <w:lang w:val="fr-BE"/>
              </w:rPr>
            </w:pPr>
          </w:p>
        </w:tc>
      </w:tr>
      <w:tr w:rsidR="007871EF" w:rsidRPr="0061515F" w14:paraId="0F27C819" w14:textId="77777777" w:rsidTr="002D1FE9">
        <w:tc>
          <w:tcPr>
            <w:tcW w:w="581" w:type="dxa"/>
          </w:tcPr>
          <w:p w14:paraId="0F27C811" w14:textId="77777777" w:rsidR="007871EF" w:rsidRPr="005600B5" w:rsidRDefault="00A67DD8">
            <w:pPr>
              <w:rPr>
                <w:rFonts w:cstheme="minorHAnsi"/>
                <w:sz w:val="24"/>
                <w:szCs w:val="24"/>
              </w:rPr>
            </w:pPr>
            <w:r w:rsidRPr="005600B5">
              <w:rPr>
                <w:rFonts w:cstheme="minorHAnsi"/>
                <w:sz w:val="24"/>
                <w:szCs w:val="24"/>
              </w:rPr>
              <w:t>2.2</w:t>
            </w:r>
          </w:p>
        </w:tc>
        <w:tc>
          <w:tcPr>
            <w:tcW w:w="7758" w:type="dxa"/>
          </w:tcPr>
          <w:p w14:paraId="0F27C812" w14:textId="77777777" w:rsidR="00192060" w:rsidRPr="005600B5" w:rsidRDefault="00192060" w:rsidP="00FC0458">
            <w:pPr>
              <w:rPr>
                <w:rFonts w:cstheme="minorHAnsi"/>
                <w:sz w:val="24"/>
                <w:szCs w:val="24"/>
                <w:lang w:val="fr-BE"/>
              </w:rPr>
            </w:pPr>
            <w:r w:rsidRPr="005600B5">
              <w:rPr>
                <w:rFonts w:cstheme="minorHAnsi"/>
                <w:sz w:val="24"/>
                <w:szCs w:val="24"/>
                <w:lang w:val="fr-BE"/>
              </w:rPr>
              <w:t>Est-ce que la décision attaquée est une décision non définitive mais qui constitue une décision :</w:t>
            </w:r>
          </w:p>
          <w:p w14:paraId="0F27C813" w14:textId="77777777" w:rsidR="00192060" w:rsidRPr="005600B5" w:rsidRDefault="00192060" w:rsidP="00192060">
            <w:pPr>
              <w:pStyle w:val="Paragraphedeliste"/>
              <w:numPr>
                <w:ilvl w:val="0"/>
                <w:numId w:val="1"/>
              </w:numPr>
              <w:rPr>
                <w:rFonts w:cstheme="minorHAnsi"/>
                <w:sz w:val="24"/>
                <w:szCs w:val="24"/>
                <w:lang w:val="fr-BE"/>
              </w:rPr>
            </w:pPr>
            <w:r w:rsidRPr="005600B5">
              <w:rPr>
                <w:rFonts w:cstheme="minorHAnsi"/>
                <w:sz w:val="24"/>
                <w:szCs w:val="24"/>
                <w:lang w:val="fr-BE"/>
              </w:rPr>
              <w:t>Rendue sur la compétence (interprétation restrictive)</w:t>
            </w:r>
          </w:p>
          <w:p w14:paraId="0F27C814" w14:textId="77777777" w:rsidR="00192060" w:rsidRPr="005600B5" w:rsidRDefault="00192060" w:rsidP="00192060">
            <w:pPr>
              <w:pStyle w:val="Paragraphedeliste"/>
              <w:numPr>
                <w:ilvl w:val="0"/>
                <w:numId w:val="1"/>
              </w:numPr>
              <w:rPr>
                <w:rFonts w:cstheme="minorHAnsi"/>
                <w:sz w:val="24"/>
                <w:szCs w:val="24"/>
                <w:lang w:val="fr-BE"/>
              </w:rPr>
            </w:pPr>
            <w:r w:rsidRPr="005600B5">
              <w:rPr>
                <w:rFonts w:cstheme="minorHAnsi"/>
                <w:sz w:val="24"/>
                <w:szCs w:val="24"/>
                <w:lang w:val="fr-BE"/>
              </w:rPr>
              <w:t xml:space="preserve"> Qui, rendue sur l’action civile, statue sur le principe d’une responsabilité </w:t>
            </w:r>
          </w:p>
          <w:p w14:paraId="0F27C815" w14:textId="77777777" w:rsidR="00192060" w:rsidRPr="005600B5" w:rsidRDefault="00192060" w:rsidP="00192060">
            <w:pPr>
              <w:pStyle w:val="Paragraphedeliste"/>
              <w:numPr>
                <w:ilvl w:val="0"/>
                <w:numId w:val="1"/>
              </w:numPr>
              <w:rPr>
                <w:rFonts w:cstheme="minorHAnsi"/>
                <w:sz w:val="24"/>
                <w:szCs w:val="24"/>
                <w:lang w:val="fr-BE"/>
              </w:rPr>
            </w:pPr>
            <w:r w:rsidRPr="005600B5">
              <w:rPr>
                <w:rFonts w:cstheme="minorHAnsi"/>
                <w:sz w:val="24"/>
                <w:szCs w:val="24"/>
                <w:lang w:val="fr-BE"/>
              </w:rPr>
              <w:t>Qui ordonne un enquête particulière sur les avantages patrimoniaux</w:t>
            </w:r>
          </w:p>
          <w:p w14:paraId="0F27C816" w14:textId="77777777" w:rsidR="007871EF" w:rsidRDefault="00FF34E4" w:rsidP="00192060">
            <w:pPr>
              <w:pStyle w:val="Paragraphedeliste"/>
              <w:rPr>
                <w:rFonts w:cstheme="minorHAnsi"/>
                <w:sz w:val="24"/>
                <w:szCs w:val="24"/>
                <w:lang w:val="fr-BE"/>
              </w:rPr>
            </w:pPr>
            <w:r w:rsidRPr="005600B5">
              <w:rPr>
                <w:rFonts w:cstheme="minorHAnsi"/>
                <w:sz w:val="24"/>
                <w:szCs w:val="24"/>
                <w:lang w:val="fr-BE"/>
              </w:rPr>
              <w:t xml:space="preserve"> (art. 420, </w:t>
            </w:r>
            <w:r w:rsidR="00192060" w:rsidRPr="005600B5">
              <w:rPr>
                <w:rFonts w:cstheme="minorHAnsi"/>
                <w:sz w:val="24"/>
                <w:szCs w:val="24"/>
                <w:lang w:val="fr-BE"/>
              </w:rPr>
              <w:t>alinéa 2, C.i.cr.</w:t>
            </w:r>
            <w:r w:rsidR="006B53A6" w:rsidRPr="005600B5">
              <w:rPr>
                <w:rFonts w:cstheme="minorHAnsi"/>
                <w:sz w:val="24"/>
                <w:szCs w:val="24"/>
                <w:lang w:val="fr-BE"/>
              </w:rPr>
              <w:t>)</w:t>
            </w:r>
            <w:r w:rsidRPr="005600B5">
              <w:rPr>
                <w:rFonts w:cstheme="minorHAnsi"/>
                <w:sz w:val="24"/>
                <w:szCs w:val="24"/>
                <w:lang w:val="fr-BE"/>
              </w:rPr>
              <w:t xml:space="preserve">: </w:t>
            </w:r>
            <w:r w:rsidR="00192060" w:rsidRPr="005600B5">
              <w:rPr>
                <w:rFonts w:cstheme="minorHAnsi"/>
                <w:sz w:val="24"/>
                <w:szCs w:val="24"/>
                <w:lang w:val="fr-BE"/>
              </w:rPr>
              <w:t>pourvoi immédiat</w:t>
            </w:r>
          </w:p>
          <w:p w14:paraId="0F27C817" w14:textId="77777777" w:rsidR="004B07E0" w:rsidRPr="004B07E0" w:rsidRDefault="004B07E0" w:rsidP="004B07E0">
            <w:pPr>
              <w:pStyle w:val="Paragraphedeliste"/>
              <w:numPr>
                <w:ilvl w:val="0"/>
                <w:numId w:val="1"/>
              </w:numPr>
              <w:rPr>
                <w:rFonts w:cstheme="minorHAnsi"/>
                <w:sz w:val="24"/>
                <w:szCs w:val="24"/>
                <w:lang w:val="fr-BE"/>
              </w:rPr>
            </w:pPr>
            <w:r>
              <w:rPr>
                <w:rFonts w:cstheme="minorHAnsi"/>
                <w:sz w:val="24"/>
                <w:szCs w:val="24"/>
                <w:lang w:val="fr-BE"/>
              </w:rPr>
              <w:t xml:space="preserve">Contre un arrêt de dessaisissement jeunesse (C. </w:t>
            </w:r>
            <w:proofErr w:type="spellStart"/>
            <w:r>
              <w:rPr>
                <w:rFonts w:cstheme="minorHAnsi"/>
                <w:sz w:val="24"/>
                <w:szCs w:val="24"/>
                <w:lang w:val="fr-BE"/>
              </w:rPr>
              <w:t>const</w:t>
            </w:r>
            <w:proofErr w:type="spellEnd"/>
            <w:r>
              <w:rPr>
                <w:rFonts w:cstheme="minorHAnsi"/>
                <w:sz w:val="24"/>
                <w:szCs w:val="24"/>
                <w:lang w:val="fr-BE"/>
              </w:rPr>
              <w:t>.)</w:t>
            </w:r>
          </w:p>
        </w:tc>
        <w:tc>
          <w:tcPr>
            <w:tcW w:w="723" w:type="dxa"/>
          </w:tcPr>
          <w:p w14:paraId="0F27C818" w14:textId="77777777" w:rsidR="007871EF" w:rsidRPr="005600B5" w:rsidRDefault="007871EF">
            <w:pPr>
              <w:rPr>
                <w:lang w:val="fr-BE"/>
              </w:rPr>
            </w:pPr>
          </w:p>
        </w:tc>
      </w:tr>
      <w:tr w:rsidR="007871EF" w:rsidRPr="005600B5" w14:paraId="0F27C81F" w14:textId="77777777" w:rsidTr="002D1FE9">
        <w:tc>
          <w:tcPr>
            <w:tcW w:w="581" w:type="dxa"/>
          </w:tcPr>
          <w:p w14:paraId="0F27C81A" w14:textId="77777777" w:rsidR="007871EF" w:rsidRPr="004B07E0" w:rsidRDefault="00A67DD8">
            <w:pPr>
              <w:rPr>
                <w:rFonts w:cstheme="minorHAnsi"/>
                <w:sz w:val="24"/>
                <w:szCs w:val="24"/>
                <w:lang w:val="fr-BE"/>
              </w:rPr>
            </w:pPr>
            <w:r w:rsidRPr="004B07E0">
              <w:rPr>
                <w:rFonts w:cstheme="minorHAnsi"/>
                <w:sz w:val="24"/>
                <w:szCs w:val="24"/>
                <w:lang w:val="fr-BE"/>
              </w:rPr>
              <w:t>2.3</w:t>
            </w:r>
          </w:p>
        </w:tc>
        <w:tc>
          <w:tcPr>
            <w:tcW w:w="7758" w:type="dxa"/>
          </w:tcPr>
          <w:p w14:paraId="0F27C81B" w14:textId="77777777" w:rsidR="00192060" w:rsidRPr="005600B5" w:rsidRDefault="00192060">
            <w:pPr>
              <w:rPr>
                <w:rFonts w:cstheme="minorHAnsi"/>
                <w:sz w:val="24"/>
                <w:szCs w:val="24"/>
                <w:lang w:val="fr-BE"/>
              </w:rPr>
            </w:pPr>
            <w:r w:rsidRPr="005600B5">
              <w:rPr>
                <w:rFonts w:cstheme="minorHAnsi"/>
                <w:sz w:val="24"/>
                <w:szCs w:val="24"/>
                <w:lang w:val="fr-BE"/>
              </w:rPr>
              <w:t>Est-ce que la décision attaquée est une décision non définitive autre que celles visées dans les exceptions visées à l’article 420, al. 2, C.i.cr. ?</w:t>
            </w:r>
          </w:p>
          <w:p w14:paraId="0F27C81C" w14:textId="77777777" w:rsidR="00A67DD8" w:rsidRPr="005600B5" w:rsidRDefault="00192060">
            <w:pPr>
              <w:rPr>
                <w:rFonts w:cstheme="minorHAnsi"/>
                <w:sz w:val="24"/>
                <w:szCs w:val="24"/>
                <w:lang w:val="fr-BE"/>
              </w:rPr>
            </w:pPr>
            <w:r w:rsidRPr="005600B5">
              <w:rPr>
                <w:rFonts w:cstheme="minorHAnsi"/>
                <w:sz w:val="24"/>
                <w:szCs w:val="24"/>
                <w:lang w:val="fr-BE"/>
              </w:rPr>
              <w:t>Seul un pourvoi différé est autorisé, c’est-à-dire après la décision définitive. Tout autre pourvoi en cassation antérieur est irrecevable</w:t>
            </w:r>
          </w:p>
          <w:p w14:paraId="0F27C81D" w14:textId="77777777" w:rsidR="007871EF" w:rsidRPr="005600B5" w:rsidRDefault="00192060" w:rsidP="00A67DD8">
            <w:pPr>
              <w:rPr>
                <w:rFonts w:cstheme="minorHAnsi"/>
                <w:sz w:val="24"/>
                <w:szCs w:val="24"/>
              </w:rPr>
            </w:pPr>
            <w:r w:rsidRPr="005600B5">
              <w:rPr>
                <w:rFonts w:cstheme="minorHAnsi"/>
                <w:sz w:val="24"/>
                <w:szCs w:val="24"/>
              </w:rPr>
              <w:t xml:space="preserve"> </w:t>
            </w:r>
          </w:p>
        </w:tc>
        <w:tc>
          <w:tcPr>
            <w:tcW w:w="723" w:type="dxa"/>
          </w:tcPr>
          <w:p w14:paraId="0F27C81E" w14:textId="77777777" w:rsidR="007871EF" w:rsidRPr="005600B5" w:rsidRDefault="007871EF"/>
        </w:tc>
      </w:tr>
      <w:tr w:rsidR="0086734A" w:rsidRPr="0061515F" w14:paraId="0F27C823" w14:textId="77777777" w:rsidTr="002D1FE9">
        <w:tc>
          <w:tcPr>
            <w:tcW w:w="581" w:type="dxa"/>
          </w:tcPr>
          <w:p w14:paraId="0F27C820" w14:textId="77777777" w:rsidR="0086734A" w:rsidRPr="005600B5" w:rsidRDefault="0086734A">
            <w:pPr>
              <w:rPr>
                <w:rFonts w:cstheme="minorHAnsi"/>
                <w:sz w:val="24"/>
                <w:szCs w:val="24"/>
              </w:rPr>
            </w:pPr>
            <w:r w:rsidRPr="005600B5">
              <w:rPr>
                <w:rFonts w:cstheme="minorHAnsi"/>
                <w:sz w:val="24"/>
                <w:szCs w:val="24"/>
              </w:rPr>
              <w:t>2.4.</w:t>
            </w:r>
          </w:p>
        </w:tc>
        <w:tc>
          <w:tcPr>
            <w:tcW w:w="7758" w:type="dxa"/>
          </w:tcPr>
          <w:p w14:paraId="0F27C821" w14:textId="77777777" w:rsidR="0086734A" w:rsidRPr="005600B5" w:rsidRDefault="00192060" w:rsidP="00192060">
            <w:pPr>
              <w:rPr>
                <w:rFonts w:cstheme="minorHAnsi"/>
                <w:sz w:val="24"/>
                <w:szCs w:val="24"/>
                <w:lang w:val="fr-BE"/>
              </w:rPr>
            </w:pPr>
            <w:r w:rsidRPr="005600B5">
              <w:rPr>
                <w:rFonts w:cstheme="minorHAnsi"/>
                <w:sz w:val="24"/>
                <w:szCs w:val="24"/>
                <w:lang w:val="fr-BE"/>
              </w:rPr>
              <w:t>Cas particulier</w:t>
            </w:r>
            <w:r w:rsidR="0086734A" w:rsidRPr="005600B5">
              <w:rPr>
                <w:rFonts w:cstheme="minorHAnsi"/>
                <w:sz w:val="24"/>
                <w:szCs w:val="24"/>
                <w:lang w:val="fr-BE"/>
              </w:rPr>
              <w:t xml:space="preserve">: </w:t>
            </w:r>
            <w:r w:rsidRPr="005600B5">
              <w:rPr>
                <w:rFonts w:cstheme="minorHAnsi"/>
                <w:sz w:val="24"/>
                <w:szCs w:val="24"/>
                <w:lang w:val="fr-BE"/>
              </w:rPr>
              <w:t xml:space="preserve">pourvoi en cassation contre l’arrêt de renvoi devant la cour d’assises </w:t>
            </w:r>
            <w:r w:rsidR="00246B50" w:rsidRPr="005600B5">
              <w:rPr>
                <w:rFonts w:cstheme="minorHAnsi"/>
                <w:sz w:val="24"/>
                <w:szCs w:val="24"/>
                <w:lang w:val="fr-BE"/>
              </w:rPr>
              <w:t>(art. 421 C.i.cr</w:t>
            </w:r>
            <w:r w:rsidR="0086734A" w:rsidRPr="005600B5">
              <w:rPr>
                <w:rFonts w:cstheme="minorHAnsi"/>
                <w:sz w:val="24"/>
                <w:szCs w:val="24"/>
                <w:lang w:val="fr-BE"/>
              </w:rPr>
              <w:t>.)</w:t>
            </w:r>
          </w:p>
        </w:tc>
        <w:tc>
          <w:tcPr>
            <w:tcW w:w="723" w:type="dxa"/>
          </w:tcPr>
          <w:p w14:paraId="0F27C822" w14:textId="77777777" w:rsidR="0086734A" w:rsidRPr="005600B5" w:rsidRDefault="0086734A">
            <w:pPr>
              <w:rPr>
                <w:lang w:val="fr-BE"/>
              </w:rPr>
            </w:pPr>
          </w:p>
        </w:tc>
      </w:tr>
      <w:tr w:rsidR="00A67DD8" w:rsidRPr="0061515F" w14:paraId="0F27C827" w14:textId="77777777" w:rsidTr="002D1FE9">
        <w:tc>
          <w:tcPr>
            <w:tcW w:w="581" w:type="dxa"/>
          </w:tcPr>
          <w:p w14:paraId="0F27C824" w14:textId="77777777" w:rsidR="00A67DD8" w:rsidRPr="005600B5" w:rsidRDefault="00A67DD8">
            <w:pPr>
              <w:rPr>
                <w:rFonts w:cstheme="minorHAnsi"/>
                <w:b/>
                <w:sz w:val="24"/>
                <w:szCs w:val="24"/>
              </w:rPr>
            </w:pPr>
            <w:r w:rsidRPr="005600B5">
              <w:rPr>
                <w:rFonts w:cstheme="minorHAnsi"/>
                <w:b/>
                <w:sz w:val="24"/>
                <w:szCs w:val="24"/>
              </w:rPr>
              <w:t>3</w:t>
            </w:r>
          </w:p>
        </w:tc>
        <w:tc>
          <w:tcPr>
            <w:tcW w:w="7758" w:type="dxa"/>
          </w:tcPr>
          <w:p w14:paraId="0F27C825" w14:textId="77777777" w:rsidR="00A67DD8" w:rsidRPr="005600B5" w:rsidRDefault="00246B50">
            <w:pPr>
              <w:rPr>
                <w:rFonts w:cstheme="minorHAnsi"/>
                <w:b/>
                <w:sz w:val="24"/>
                <w:szCs w:val="24"/>
                <w:lang w:val="fr-BE"/>
              </w:rPr>
            </w:pPr>
            <w:r w:rsidRPr="005600B5">
              <w:rPr>
                <w:rFonts w:cstheme="minorHAnsi"/>
                <w:b/>
                <w:sz w:val="24"/>
                <w:szCs w:val="24"/>
                <w:lang w:val="fr-BE"/>
              </w:rPr>
              <w:t>Délai pour former le pourvoi en cassation</w:t>
            </w:r>
          </w:p>
        </w:tc>
        <w:tc>
          <w:tcPr>
            <w:tcW w:w="723" w:type="dxa"/>
          </w:tcPr>
          <w:p w14:paraId="0F27C826" w14:textId="77777777" w:rsidR="00A67DD8" w:rsidRPr="005600B5" w:rsidRDefault="00A67DD8">
            <w:pPr>
              <w:rPr>
                <w:lang w:val="fr-BE"/>
              </w:rPr>
            </w:pPr>
          </w:p>
        </w:tc>
      </w:tr>
      <w:tr w:rsidR="00A67DD8" w:rsidRPr="005600B5" w14:paraId="0F27C82B" w14:textId="77777777" w:rsidTr="002D1FE9">
        <w:tc>
          <w:tcPr>
            <w:tcW w:w="581" w:type="dxa"/>
          </w:tcPr>
          <w:p w14:paraId="0F27C828" w14:textId="77777777" w:rsidR="00A67DD8" w:rsidRPr="005600B5" w:rsidRDefault="00A67DD8">
            <w:pPr>
              <w:rPr>
                <w:rFonts w:cstheme="minorHAnsi"/>
                <w:sz w:val="24"/>
                <w:szCs w:val="24"/>
              </w:rPr>
            </w:pPr>
            <w:r w:rsidRPr="005600B5">
              <w:rPr>
                <w:rFonts w:cstheme="minorHAnsi"/>
                <w:sz w:val="24"/>
                <w:szCs w:val="24"/>
              </w:rPr>
              <w:t>3.1</w:t>
            </w:r>
          </w:p>
        </w:tc>
        <w:tc>
          <w:tcPr>
            <w:tcW w:w="7758" w:type="dxa"/>
          </w:tcPr>
          <w:p w14:paraId="0F27C829" w14:textId="77777777" w:rsidR="00A67DD8" w:rsidRPr="005600B5" w:rsidRDefault="00246B50" w:rsidP="00246B50">
            <w:pPr>
              <w:rPr>
                <w:rFonts w:cstheme="minorHAnsi"/>
                <w:sz w:val="24"/>
                <w:szCs w:val="24"/>
              </w:rPr>
            </w:pPr>
            <w:r w:rsidRPr="005600B5">
              <w:rPr>
                <w:rFonts w:cstheme="minorHAnsi"/>
                <w:sz w:val="24"/>
                <w:szCs w:val="24"/>
                <w:lang w:val="fr-BE"/>
              </w:rPr>
              <w:t>La décision est rendue de façon contradictoire</w:t>
            </w:r>
            <w:r w:rsidR="00A67DD8" w:rsidRPr="005600B5">
              <w:rPr>
                <w:rFonts w:cstheme="minorHAnsi"/>
                <w:sz w:val="24"/>
                <w:szCs w:val="24"/>
                <w:lang w:val="fr-BE"/>
              </w:rPr>
              <w:t xml:space="preserve">: 15 </w:t>
            </w:r>
            <w:r w:rsidRPr="005600B5">
              <w:rPr>
                <w:rFonts w:cstheme="minorHAnsi"/>
                <w:sz w:val="24"/>
                <w:szCs w:val="24"/>
                <w:lang w:val="fr-BE"/>
              </w:rPr>
              <w:t xml:space="preserve">jours après le prononcé de la décision attaquée </w:t>
            </w:r>
            <w:r w:rsidR="00A67DD8" w:rsidRPr="005600B5">
              <w:rPr>
                <w:rFonts w:cstheme="minorHAnsi"/>
                <w:sz w:val="24"/>
                <w:szCs w:val="24"/>
                <w:lang w:val="fr-BE"/>
              </w:rPr>
              <w:t xml:space="preserve">– </w:t>
            </w:r>
            <w:r w:rsidRPr="005600B5">
              <w:rPr>
                <w:rFonts w:cstheme="minorHAnsi"/>
                <w:sz w:val="24"/>
                <w:szCs w:val="24"/>
                <w:lang w:val="fr-BE"/>
              </w:rPr>
              <w:t>prolongation des délais art. 644 C.i.cr.</w:t>
            </w:r>
            <w:r w:rsidR="00A67DD8" w:rsidRPr="005600B5">
              <w:rPr>
                <w:rFonts w:cstheme="minorHAnsi"/>
                <w:sz w:val="24"/>
                <w:szCs w:val="24"/>
                <w:lang w:val="fr-BE"/>
              </w:rPr>
              <w:t>.</w:t>
            </w:r>
            <w:r w:rsidR="0086734A" w:rsidRPr="005600B5">
              <w:rPr>
                <w:rFonts w:cstheme="minorHAnsi"/>
                <w:sz w:val="24"/>
                <w:szCs w:val="24"/>
                <w:lang w:val="fr-BE"/>
              </w:rPr>
              <w:t xml:space="preserve"> </w:t>
            </w:r>
            <w:r w:rsidR="0086734A" w:rsidRPr="005600B5">
              <w:rPr>
                <w:rFonts w:cstheme="minorHAnsi"/>
                <w:sz w:val="24"/>
                <w:szCs w:val="24"/>
              </w:rPr>
              <w:t xml:space="preserve">(art. 422 </w:t>
            </w:r>
            <w:r w:rsidRPr="005600B5">
              <w:rPr>
                <w:rFonts w:cstheme="minorHAnsi"/>
                <w:sz w:val="24"/>
                <w:szCs w:val="24"/>
                <w:lang w:val="fr-BE"/>
              </w:rPr>
              <w:t>C.i.cr.</w:t>
            </w:r>
            <w:r w:rsidR="0086734A" w:rsidRPr="005600B5">
              <w:rPr>
                <w:rFonts w:cstheme="minorHAnsi"/>
                <w:sz w:val="24"/>
                <w:szCs w:val="24"/>
              </w:rPr>
              <w:t xml:space="preserve">; art. 359 </w:t>
            </w:r>
            <w:r w:rsidRPr="005600B5">
              <w:rPr>
                <w:rFonts w:cstheme="minorHAnsi"/>
                <w:sz w:val="24"/>
                <w:szCs w:val="24"/>
                <w:lang w:val="fr-BE"/>
              </w:rPr>
              <w:t>C.i.cr.</w:t>
            </w:r>
            <w:r w:rsidR="0086734A" w:rsidRPr="005600B5">
              <w:rPr>
                <w:rFonts w:cstheme="minorHAnsi"/>
                <w:sz w:val="24"/>
                <w:szCs w:val="24"/>
              </w:rPr>
              <w:t>)</w:t>
            </w:r>
          </w:p>
        </w:tc>
        <w:tc>
          <w:tcPr>
            <w:tcW w:w="723" w:type="dxa"/>
          </w:tcPr>
          <w:p w14:paraId="0F27C82A" w14:textId="77777777" w:rsidR="00A67DD8" w:rsidRPr="005600B5" w:rsidRDefault="00A67DD8"/>
        </w:tc>
      </w:tr>
      <w:tr w:rsidR="00A67DD8" w:rsidRPr="0061515F" w14:paraId="0F27C830" w14:textId="77777777" w:rsidTr="002D1FE9">
        <w:tc>
          <w:tcPr>
            <w:tcW w:w="581" w:type="dxa"/>
          </w:tcPr>
          <w:p w14:paraId="0F27C82C" w14:textId="77777777" w:rsidR="00A67DD8" w:rsidRPr="005600B5" w:rsidRDefault="002D1FE9">
            <w:pPr>
              <w:rPr>
                <w:rFonts w:cstheme="minorHAnsi"/>
                <w:sz w:val="24"/>
                <w:szCs w:val="24"/>
              </w:rPr>
            </w:pPr>
            <w:r w:rsidRPr="005600B5">
              <w:rPr>
                <w:rFonts w:cstheme="minorHAnsi"/>
                <w:sz w:val="24"/>
                <w:szCs w:val="24"/>
              </w:rPr>
              <w:t>3.2</w:t>
            </w:r>
          </w:p>
        </w:tc>
        <w:tc>
          <w:tcPr>
            <w:tcW w:w="7758" w:type="dxa"/>
          </w:tcPr>
          <w:p w14:paraId="0F27C82D" w14:textId="77777777" w:rsidR="00A67DD8" w:rsidRPr="005600B5" w:rsidRDefault="00246B50" w:rsidP="002D1FE9">
            <w:pPr>
              <w:rPr>
                <w:rFonts w:cstheme="minorHAnsi"/>
                <w:sz w:val="24"/>
                <w:szCs w:val="24"/>
                <w:lang w:val="fr-BE"/>
              </w:rPr>
            </w:pPr>
            <w:r w:rsidRPr="005600B5">
              <w:rPr>
                <w:rFonts w:cstheme="minorHAnsi"/>
                <w:sz w:val="24"/>
                <w:szCs w:val="24"/>
                <w:lang w:val="fr-BE"/>
              </w:rPr>
              <w:t>La décision attaquée a été rendue par défaut et est susceptible d’opposition</w:t>
            </w:r>
            <w:r w:rsidR="00FF34E4" w:rsidRPr="005600B5">
              <w:rPr>
                <w:rFonts w:cstheme="minorHAnsi"/>
                <w:sz w:val="24"/>
                <w:szCs w:val="24"/>
                <w:lang w:val="fr-BE"/>
              </w:rPr>
              <w:t xml:space="preserve">: </w:t>
            </w:r>
            <w:r w:rsidRPr="005600B5">
              <w:rPr>
                <w:rFonts w:cstheme="minorHAnsi"/>
                <w:sz w:val="24"/>
                <w:szCs w:val="24"/>
                <w:lang w:val="fr-BE"/>
              </w:rPr>
              <w:t xml:space="preserve">le délai de 15 jours prend cours à l’expiration du délai ordinaire d’opposition </w:t>
            </w:r>
            <w:r w:rsidR="0086734A" w:rsidRPr="005600B5">
              <w:rPr>
                <w:rFonts w:cstheme="minorHAnsi"/>
                <w:sz w:val="24"/>
                <w:szCs w:val="24"/>
                <w:lang w:val="fr-BE"/>
              </w:rPr>
              <w:t xml:space="preserve">(art. 424 </w:t>
            </w:r>
            <w:r w:rsidRPr="005600B5">
              <w:rPr>
                <w:rFonts w:cstheme="minorHAnsi"/>
                <w:sz w:val="24"/>
                <w:szCs w:val="24"/>
                <w:lang w:val="fr-BE"/>
              </w:rPr>
              <w:t>C.i.cr</w:t>
            </w:r>
            <w:r w:rsidR="0086734A" w:rsidRPr="005600B5">
              <w:rPr>
                <w:rFonts w:cstheme="minorHAnsi"/>
                <w:sz w:val="24"/>
                <w:szCs w:val="24"/>
                <w:lang w:val="fr-BE"/>
              </w:rPr>
              <w:t>.)</w:t>
            </w:r>
            <w:r w:rsidR="002D1FE9" w:rsidRPr="005600B5">
              <w:rPr>
                <w:rFonts w:cstheme="minorHAnsi"/>
                <w:sz w:val="24"/>
                <w:szCs w:val="24"/>
                <w:lang w:val="fr-BE"/>
              </w:rPr>
              <w:t xml:space="preserve">. </w:t>
            </w:r>
            <w:r w:rsidRPr="005600B5">
              <w:rPr>
                <w:rFonts w:cstheme="minorHAnsi"/>
                <w:sz w:val="24"/>
                <w:szCs w:val="24"/>
                <w:lang w:val="fr-BE"/>
              </w:rPr>
              <w:t xml:space="preserve">Un pourvoi introduit avant ou pendant le délai ordinaire d’opposition est irrecevable. </w:t>
            </w:r>
          </w:p>
          <w:p w14:paraId="0F27C82E" w14:textId="77777777" w:rsidR="002D1FE9" w:rsidRPr="005600B5" w:rsidRDefault="00246B50" w:rsidP="00246B50">
            <w:pPr>
              <w:rPr>
                <w:rFonts w:cstheme="minorHAnsi"/>
                <w:sz w:val="24"/>
                <w:szCs w:val="24"/>
                <w:lang w:val="fr-BE"/>
              </w:rPr>
            </w:pPr>
            <w:r w:rsidRPr="005600B5">
              <w:rPr>
                <w:rFonts w:cstheme="minorHAnsi"/>
                <w:sz w:val="24"/>
                <w:szCs w:val="24"/>
                <w:lang w:val="fr-BE"/>
              </w:rPr>
              <w:t>La règle ne vaut pas seulement pour la partie défaillante mais aussi pour les autres parties.</w:t>
            </w:r>
            <w:r w:rsidR="002D1FE9" w:rsidRPr="005600B5">
              <w:rPr>
                <w:rFonts w:cstheme="minorHAnsi"/>
                <w:sz w:val="24"/>
                <w:szCs w:val="24"/>
                <w:lang w:val="fr-BE"/>
              </w:rPr>
              <w:t xml:space="preserve"> </w:t>
            </w:r>
            <w:r w:rsidRPr="005600B5">
              <w:rPr>
                <w:rFonts w:cstheme="minorHAnsi"/>
                <w:sz w:val="24"/>
                <w:szCs w:val="24"/>
                <w:lang w:val="fr-BE"/>
              </w:rPr>
              <w:t xml:space="preserve"> </w:t>
            </w:r>
          </w:p>
        </w:tc>
        <w:tc>
          <w:tcPr>
            <w:tcW w:w="723" w:type="dxa"/>
          </w:tcPr>
          <w:p w14:paraId="0F27C82F" w14:textId="77777777" w:rsidR="00A67DD8" w:rsidRPr="005600B5" w:rsidRDefault="00A67DD8">
            <w:pPr>
              <w:rPr>
                <w:lang w:val="fr-BE"/>
              </w:rPr>
            </w:pPr>
          </w:p>
        </w:tc>
      </w:tr>
      <w:tr w:rsidR="002D1FE9" w:rsidRPr="0061515F" w14:paraId="0F27C834" w14:textId="77777777" w:rsidTr="002D1FE9">
        <w:tc>
          <w:tcPr>
            <w:tcW w:w="581" w:type="dxa"/>
          </w:tcPr>
          <w:p w14:paraId="0F27C831" w14:textId="77777777" w:rsidR="002D1FE9" w:rsidRPr="005600B5" w:rsidRDefault="002D1FE9">
            <w:pPr>
              <w:rPr>
                <w:rFonts w:cstheme="minorHAnsi"/>
                <w:sz w:val="24"/>
                <w:szCs w:val="24"/>
              </w:rPr>
            </w:pPr>
            <w:r w:rsidRPr="005600B5">
              <w:rPr>
                <w:rFonts w:cstheme="minorHAnsi"/>
                <w:sz w:val="24"/>
                <w:szCs w:val="24"/>
              </w:rPr>
              <w:t>3.3</w:t>
            </w:r>
          </w:p>
        </w:tc>
        <w:tc>
          <w:tcPr>
            <w:tcW w:w="7758" w:type="dxa"/>
          </w:tcPr>
          <w:p w14:paraId="0F27C832" w14:textId="77777777" w:rsidR="002D1FE9" w:rsidRPr="005600B5" w:rsidRDefault="00246B50" w:rsidP="00997D15">
            <w:pPr>
              <w:rPr>
                <w:rFonts w:cstheme="minorHAnsi"/>
                <w:sz w:val="24"/>
                <w:szCs w:val="24"/>
                <w:lang w:val="fr-BE"/>
              </w:rPr>
            </w:pPr>
            <w:r w:rsidRPr="005600B5">
              <w:rPr>
                <w:rFonts w:cstheme="minorHAnsi"/>
                <w:sz w:val="24"/>
                <w:szCs w:val="24"/>
                <w:lang w:val="fr-BE"/>
              </w:rPr>
              <w:t>La décision attaquée a été rendue par défaut et n’est pas susceptible d’opposition</w:t>
            </w:r>
            <w:r w:rsidR="002D1FE9" w:rsidRPr="005600B5">
              <w:rPr>
                <w:rFonts w:cstheme="minorHAnsi"/>
                <w:sz w:val="24"/>
                <w:szCs w:val="24"/>
                <w:lang w:val="fr-BE"/>
              </w:rPr>
              <w:t xml:space="preserve">:  </w:t>
            </w:r>
            <w:r w:rsidR="00997D15" w:rsidRPr="005600B5">
              <w:rPr>
                <w:rFonts w:cstheme="minorHAnsi"/>
                <w:sz w:val="24"/>
                <w:szCs w:val="24"/>
                <w:lang w:val="fr-BE"/>
              </w:rPr>
              <w:t>pour la partie défaillante, le délai commence à partir du prononcé jusqu’au 15ième jour qui suit la signification de la décision ; pour la partie à l’encontre de laquelle la décision est contradictoire, 15 jours à compter du prononcé.</w:t>
            </w:r>
          </w:p>
        </w:tc>
        <w:tc>
          <w:tcPr>
            <w:tcW w:w="723" w:type="dxa"/>
          </w:tcPr>
          <w:p w14:paraId="0F27C833" w14:textId="77777777" w:rsidR="002D1FE9" w:rsidRPr="005600B5" w:rsidRDefault="002D1FE9">
            <w:pPr>
              <w:rPr>
                <w:lang w:val="fr-BE"/>
              </w:rPr>
            </w:pPr>
          </w:p>
        </w:tc>
      </w:tr>
      <w:tr w:rsidR="002D1FE9" w:rsidRPr="0061515F" w14:paraId="0F27C839" w14:textId="77777777" w:rsidTr="002D1FE9">
        <w:tc>
          <w:tcPr>
            <w:tcW w:w="581" w:type="dxa"/>
          </w:tcPr>
          <w:p w14:paraId="0F27C835" w14:textId="77777777" w:rsidR="002D1FE9" w:rsidRPr="005600B5" w:rsidRDefault="002D1FE9">
            <w:pPr>
              <w:rPr>
                <w:rFonts w:cstheme="minorHAnsi"/>
                <w:sz w:val="24"/>
                <w:szCs w:val="24"/>
                <w:lang w:val="fr-BE"/>
              </w:rPr>
            </w:pPr>
            <w:r w:rsidRPr="005600B5">
              <w:rPr>
                <w:rFonts w:cstheme="minorHAnsi"/>
                <w:sz w:val="24"/>
                <w:szCs w:val="24"/>
                <w:lang w:val="fr-BE"/>
              </w:rPr>
              <w:t>3.4</w:t>
            </w:r>
          </w:p>
        </w:tc>
        <w:tc>
          <w:tcPr>
            <w:tcW w:w="7758" w:type="dxa"/>
          </w:tcPr>
          <w:p w14:paraId="0F27C836" w14:textId="77777777" w:rsidR="002D1FE9" w:rsidRPr="005600B5" w:rsidRDefault="00997D15" w:rsidP="00997D15">
            <w:pPr>
              <w:rPr>
                <w:rFonts w:cstheme="minorHAnsi"/>
                <w:sz w:val="24"/>
                <w:szCs w:val="24"/>
                <w:lang w:val="fr-BE"/>
              </w:rPr>
            </w:pPr>
            <w:r w:rsidRPr="005600B5">
              <w:rPr>
                <w:rFonts w:cstheme="minorHAnsi"/>
                <w:sz w:val="24"/>
                <w:szCs w:val="24"/>
                <w:lang w:val="fr-BE"/>
              </w:rPr>
              <w:t xml:space="preserve">En cas de décision rendue par défaut : toujours vérifier s’il n’y a pas application de règles particulières (dans certains cas, le délai est prolongé, par ex. art. 55 C. </w:t>
            </w:r>
            <w:proofErr w:type="spellStart"/>
            <w:r w:rsidRPr="005600B5">
              <w:rPr>
                <w:rFonts w:cstheme="minorHAnsi"/>
                <w:sz w:val="24"/>
                <w:szCs w:val="24"/>
                <w:lang w:val="fr-BE"/>
              </w:rPr>
              <w:t>jud</w:t>
            </w:r>
            <w:proofErr w:type="spellEnd"/>
            <w:r w:rsidRPr="005600B5">
              <w:rPr>
                <w:rFonts w:cstheme="minorHAnsi"/>
                <w:sz w:val="24"/>
                <w:szCs w:val="24"/>
                <w:lang w:val="fr-BE"/>
              </w:rPr>
              <w:t> ; règles relatives à l’opposition déclarée non avenue</w:t>
            </w:r>
            <w:r w:rsidR="00FC0E69" w:rsidRPr="005600B5">
              <w:rPr>
                <w:rFonts w:cstheme="minorHAnsi"/>
                <w:sz w:val="24"/>
                <w:szCs w:val="24"/>
                <w:lang w:val="fr-BE"/>
              </w:rPr>
              <w:t>, …)</w:t>
            </w:r>
          </w:p>
          <w:p w14:paraId="0F27C837" w14:textId="77777777" w:rsidR="00997D15" w:rsidRPr="005600B5" w:rsidRDefault="00997D15" w:rsidP="00997D15">
            <w:pPr>
              <w:rPr>
                <w:rFonts w:cstheme="minorHAnsi"/>
                <w:sz w:val="24"/>
                <w:szCs w:val="24"/>
                <w:lang w:val="fr-BE"/>
              </w:rPr>
            </w:pPr>
          </w:p>
        </w:tc>
        <w:tc>
          <w:tcPr>
            <w:tcW w:w="723" w:type="dxa"/>
          </w:tcPr>
          <w:p w14:paraId="0F27C838" w14:textId="77777777" w:rsidR="002D1FE9" w:rsidRPr="005600B5" w:rsidRDefault="002D1FE9">
            <w:pPr>
              <w:rPr>
                <w:lang w:val="fr-BE"/>
              </w:rPr>
            </w:pPr>
          </w:p>
        </w:tc>
      </w:tr>
      <w:tr w:rsidR="007871EF" w:rsidRPr="0061515F" w14:paraId="0F27C83D" w14:textId="77777777" w:rsidTr="002D1FE9">
        <w:tc>
          <w:tcPr>
            <w:tcW w:w="581" w:type="dxa"/>
          </w:tcPr>
          <w:p w14:paraId="0F27C83A" w14:textId="77777777" w:rsidR="007871EF" w:rsidRPr="005600B5" w:rsidRDefault="00A67DD8">
            <w:pPr>
              <w:rPr>
                <w:rFonts w:cstheme="minorHAnsi"/>
                <w:b/>
                <w:sz w:val="24"/>
                <w:szCs w:val="24"/>
              </w:rPr>
            </w:pPr>
            <w:r w:rsidRPr="005600B5">
              <w:rPr>
                <w:rFonts w:cstheme="minorHAnsi"/>
                <w:b/>
                <w:sz w:val="24"/>
                <w:szCs w:val="24"/>
              </w:rPr>
              <w:t>4</w:t>
            </w:r>
          </w:p>
        </w:tc>
        <w:tc>
          <w:tcPr>
            <w:tcW w:w="7758" w:type="dxa"/>
          </w:tcPr>
          <w:p w14:paraId="0F27C83B" w14:textId="77777777" w:rsidR="007871EF" w:rsidRPr="005600B5" w:rsidRDefault="00997D15">
            <w:pPr>
              <w:rPr>
                <w:rFonts w:cstheme="minorHAnsi"/>
                <w:b/>
                <w:sz w:val="24"/>
                <w:szCs w:val="24"/>
                <w:lang w:val="fr-BE"/>
              </w:rPr>
            </w:pPr>
            <w:r w:rsidRPr="005600B5">
              <w:rPr>
                <w:rFonts w:cstheme="minorHAnsi"/>
                <w:b/>
                <w:sz w:val="24"/>
                <w:szCs w:val="24"/>
                <w:lang w:val="fr-BE"/>
              </w:rPr>
              <w:t>En ce qui concerne les formes</w:t>
            </w:r>
          </w:p>
        </w:tc>
        <w:tc>
          <w:tcPr>
            <w:tcW w:w="723" w:type="dxa"/>
          </w:tcPr>
          <w:p w14:paraId="0F27C83C" w14:textId="77777777" w:rsidR="007871EF" w:rsidRPr="005600B5" w:rsidRDefault="007871EF">
            <w:pPr>
              <w:rPr>
                <w:lang w:val="fr-BE"/>
              </w:rPr>
            </w:pPr>
          </w:p>
        </w:tc>
      </w:tr>
      <w:tr w:rsidR="007871EF" w:rsidRPr="0061515F" w14:paraId="0F27C841" w14:textId="77777777" w:rsidTr="002D1FE9">
        <w:tc>
          <w:tcPr>
            <w:tcW w:w="581" w:type="dxa"/>
          </w:tcPr>
          <w:p w14:paraId="0F27C83E" w14:textId="77777777" w:rsidR="007871EF" w:rsidRPr="005600B5" w:rsidRDefault="00ED2B13">
            <w:pPr>
              <w:rPr>
                <w:rFonts w:cstheme="minorHAnsi"/>
                <w:sz w:val="24"/>
                <w:szCs w:val="24"/>
              </w:rPr>
            </w:pPr>
            <w:r w:rsidRPr="005600B5">
              <w:rPr>
                <w:rFonts w:cstheme="minorHAnsi"/>
                <w:sz w:val="24"/>
                <w:szCs w:val="24"/>
              </w:rPr>
              <w:t>4</w:t>
            </w:r>
            <w:r w:rsidR="0006159D" w:rsidRPr="005600B5">
              <w:rPr>
                <w:rFonts w:cstheme="minorHAnsi"/>
                <w:sz w:val="24"/>
                <w:szCs w:val="24"/>
              </w:rPr>
              <w:t>.1</w:t>
            </w:r>
          </w:p>
        </w:tc>
        <w:tc>
          <w:tcPr>
            <w:tcW w:w="7758" w:type="dxa"/>
          </w:tcPr>
          <w:p w14:paraId="0F27C83F" w14:textId="77777777" w:rsidR="007871EF" w:rsidRPr="005600B5" w:rsidRDefault="00997D15" w:rsidP="00997D15">
            <w:pPr>
              <w:rPr>
                <w:rFonts w:cstheme="minorHAnsi"/>
                <w:sz w:val="24"/>
                <w:szCs w:val="24"/>
                <w:lang w:val="fr-BE"/>
              </w:rPr>
            </w:pPr>
            <w:r w:rsidRPr="005600B5">
              <w:rPr>
                <w:rFonts w:cstheme="minorHAnsi"/>
                <w:sz w:val="24"/>
                <w:szCs w:val="24"/>
                <w:lang w:val="fr-BE"/>
              </w:rPr>
              <w:t>Il y a seulement une possibilité : via une déclaration fait</w:t>
            </w:r>
            <w:r w:rsidR="00A11D49">
              <w:rPr>
                <w:rFonts w:cstheme="minorHAnsi"/>
                <w:sz w:val="24"/>
                <w:szCs w:val="24"/>
                <w:lang w:val="fr-BE"/>
              </w:rPr>
              <w:t>e par un avocat attesté</w:t>
            </w:r>
            <w:r w:rsidRPr="005600B5">
              <w:rPr>
                <w:rFonts w:cstheme="minorHAnsi"/>
                <w:sz w:val="24"/>
                <w:szCs w:val="24"/>
                <w:lang w:val="fr-BE"/>
              </w:rPr>
              <w:t xml:space="preserve"> au greffe de la juridiction qui a rendu la décision attaquée </w:t>
            </w:r>
            <w:r w:rsidR="0006159D" w:rsidRPr="005600B5">
              <w:rPr>
                <w:rFonts w:cstheme="minorHAnsi"/>
                <w:sz w:val="24"/>
                <w:szCs w:val="24"/>
                <w:lang w:val="fr-BE"/>
              </w:rPr>
              <w:t xml:space="preserve">(art. 425, § 1, </w:t>
            </w:r>
            <w:r w:rsidRPr="005600B5">
              <w:rPr>
                <w:rFonts w:cstheme="minorHAnsi"/>
                <w:sz w:val="24"/>
                <w:szCs w:val="24"/>
                <w:lang w:val="fr-BE"/>
              </w:rPr>
              <w:t>C.i.cr</w:t>
            </w:r>
            <w:r w:rsidR="0006159D" w:rsidRPr="005600B5">
              <w:rPr>
                <w:rFonts w:cstheme="minorHAnsi"/>
                <w:sz w:val="24"/>
                <w:szCs w:val="24"/>
                <w:lang w:val="fr-BE"/>
              </w:rPr>
              <w:t>.)</w:t>
            </w:r>
            <w:r w:rsidR="004B07E0">
              <w:rPr>
                <w:rFonts w:cstheme="minorHAnsi"/>
                <w:sz w:val="24"/>
                <w:szCs w:val="24"/>
                <w:lang w:val="fr-BE"/>
              </w:rPr>
              <w:t>. l’avocat signataire doit mentionner sa qualité « Titulaire de l’attestation visée à l’article 425, §1</w:t>
            </w:r>
            <w:r w:rsidR="004B07E0" w:rsidRPr="004B07E0">
              <w:rPr>
                <w:rFonts w:cstheme="minorHAnsi"/>
                <w:sz w:val="24"/>
                <w:szCs w:val="24"/>
                <w:vertAlign w:val="superscript"/>
                <w:lang w:val="fr-BE"/>
              </w:rPr>
              <w:t>er</w:t>
            </w:r>
            <w:r w:rsidR="004B07E0">
              <w:rPr>
                <w:rFonts w:cstheme="minorHAnsi"/>
                <w:sz w:val="24"/>
                <w:szCs w:val="24"/>
                <w:lang w:val="fr-BE"/>
              </w:rPr>
              <w:t>, al. 2, C.i.cr.)</w:t>
            </w:r>
          </w:p>
        </w:tc>
        <w:tc>
          <w:tcPr>
            <w:tcW w:w="723" w:type="dxa"/>
          </w:tcPr>
          <w:p w14:paraId="0F27C840" w14:textId="77777777" w:rsidR="007871EF" w:rsidRPr="005600B5" w:rsidRDefault="007871EF">
            <w:pPr>
              <w:rPr>
                <w:lang w:val="fr-BE"/>
              </w:rPr>
            </w:pPr>
          </w:p>
        </w:tc>
      </w:tr>
      <w:tr w:rsidR="007871EF" w:rsidRPr="0061515F" w14:paraId="0F27C845" w14:textId="77777777" w:rsidTr="002D1FE9">
        <w:tc>
          <w:tcPr>
            <w:tcW w:w="581" w:type="dxa"/>
          </w:tcPr>
          <w:p w14:paraId="0F27C842" w14:textId="77777777" w:rsidR="007871EF" w:rsidRPr="004B07E0" w:rsidRDefault="00ED2B13">
            <w:pPr>
              <w:rPr>
                <w:rFonts w:cstheme="minorHAnsi"/>
                <w:sz w:val="24"/>
                <w:szCs w:val="24"/>
                <w:lang w:val="fr-BE"/>
              </w:rPr>
            </w:pPr>
            <w:r w:rsidRPr="004B07E0">
              <w:rPr>
                <w:rFonts w:cstheme="minorHAnsi"/>
                <w:sz w:val="24"/>
                <w:szCs w:val="24"/>
                <w:lang w:val="fr-BE"/>
              </w:rPr>
              <w:t>4</w:t>
            </w:r>
            <w:r w:rsidR="0006159D" w:rsidRPr="004B07E0">
              <w:rPr>
                <w:rFonts w:cstheme="minorHAnsi"/>
                <w:sz w:val="24"/>
                <w:szCs w:val="24"/>
                <w:lang w:val="fr-BE"/>
              </w:rPr>
              <w:t>.2</w:t>
            </w:r>
          </w:p>
        </w:tc>
        <w:tc>
          <w:tcPr>
            <w:tcW w:w="7758" w:type="dxa"/>
          </w:tcPr>
          <w:p w14:paraId="0F27C843" w14:textId="77777777" w:rsidR="007871EF" w:rsidRPr="005600B5" w:rsidRDefault="00997D15" w:rsidP="00997D15">
            <w:pPr>
              <w:rPr>
                <w:rFonts w:cstheme="minorHAnsi"/>
                <w:sz w:val="24"/>
                <w:szCs w:val="24"/>
                <w:lang w:val="fr-BE"/>
              </w:rPr>
            </w:pPr>
            <w:r w:rsidRPr="005600B5">
              <w:rPr>
                <w:rFonts w:cstheme="minorHAnsi"/>
                <w:sz w:val="24"/>
                <w:szCs w:val="24"/>
                <w:lang w:val="fr-BE"/>
              </w:rPr>
              <w:t xml:space="preserve">Si le pourvoi en cassation est formé contre plusieurs décisions rendues par des juridictions différentes : uniquement au greffe de la juridiction qui a rendu la décision définitive </w:t>
            </w:r>
            <w:r w:rsidR="0006159D" w:rsidRPr="005600B5">
              <w:rPr>
                <w:rFonts w:cstheme="minorHAnsi"/>
                <w:sz w:val="24"/>
                <w:szCs w:val="24"/>
                <w:lang w:val="fr-BE"/>
              </w:rPr>
              <w:t xml:space="preserve">(art. 425, § 2, </w:t>
            </w:r>
            <w:r w:rsidRPr="005600B5">
              <w:rPr>
                <w:rFonts w:cstheme="minorHAnsi"/>
                <w:sz w:val="24"/>
                <w:szCs w:val="24"/>
                <w:lang w:val="fr-BE"/>
              </w:rPr>
              <w:t>alinéa 1</w:t>
            </w:r>
            <w:r w:rsidRPr="005600B5">
              <w:rPr>
                <w:rFonts w:cstheme="minorHAnsi"/>
                <w:sz w:val="24"/>
                <w:szCs w:val="24"/>
                <w:vertAlign w:val="superscript"/>
                <w:lang w:val="fr-BE"/>
              </w:rPr>
              <w:t>er</w:t>
            </w:r>
            <w:r w:rsidR="006E249B" w:rsidRPr="005600B5">
              <w:rPr>
                <w:rFonts w:cstheme="minorHAnsi"/>
                <w:sz w:val="24"/>
                <w:szCs w:val="24"/>
                <w:lang w:val="fr-BE"/>
              </w:rPr>
              <w:t xml:space="preserve">, </w:t>
            </w:r>
            <w:r w:rsidRPr="005600B5">
              <w:rPr>
                <w:rFonts w:cstheme="minorHAnsi"/>
                <w:sz w:val="24"/>
                <w:szCs w:val="24"/>
                <w:lang w:val="fr-BE"/>
              </w:rPr>
              <w:t>C.i.cr.)</w:t>
            </w:r>
          </w:p>
        </w:tc>
        <w:tc>
          <w:tcPr>
            <w:tcW w:w="723" w:type="dxa"/>
          </w:tcPr>
          <w:p w14:paraId="0F27C844" w14:textId="77777777" w:rsidR="007871EF" w:rsidRPr="005600B5" w:rsidRDefault="007871EF">
            <w:pPr>
              <w:rPr>
                <w:lang w:val="fr-BE"/>
              </w:rPr>
            </w:pPr>
          </w:p>
        </w:tc>
      </w:tr>
      <w:tr w:rsidR="0006159D" w:rsidRPr="0061515F" w14:paraId="0F27C84A" w14:textId="77777777" w:rsidTr="002D1FE9">
        <w:tc>
          <w:tcPr>
            <w:tcW w:w="581" w:type="dxa"/>
          </w:tcPr>
          <w:p w14:paraId="0F27C846" w14:textId="77777777" w:rsidR="0006159D" w:rsidRPr="005600B5" w:rsidRDefault="00ED2B13">
            <w:pPr>
              <w:rPr>
                <w:rFonts w:cstheme="minorHAnsi"/>
                <w:sz w:val="24"/>
                <w:szCs w:val="24"/>
              </w:rPr>
            </w:pPr>
            <w:r w:rsidRPr="005600B5">
              <w:rPr>
                <w:rFonts w:cstheme="minorHAnsi"/>
                <w:sz w:val="24"/>
                <w:szCs w:val="24"/>
              </w:rPr>
              <w:t>4</w:t>
            </w:r>
            <w:r w:rsidR="0006159D" w:rsidRPr="005600B5">
              <w:rPr>
                <w:rFonts w:cstheme="minorHAnsi"/>
                <w:sz w:val="24"/>
                <w:szCs w:val="24"/>
              </w:rPr>
              <w:t>.3</w:t>
            </w:r>
          </w:p>
        </w:tc>
        <w:tc>
          <w:tcPr>
            <w:tcW w:w="7758" w:type="dxa"/>
          </w:tcPr>
          <w:p w14:paraId="0F27C847" w14:textId="77777777" w:rsidR="0006159D" w:rsidRPr="005600B5" w:rsidRDefault="00997D15" w:rsidP="00997D15">
            <w:pPr>
              <w:rPr>
                <w:rFonts w:cstheme="minorHAnsi"/>
                <w:sz w:val="24"/>
                <w:szCs w:val="24"/>
                <w:lang w:val="fr-BE"/>
              </w:rPr>
            </w:pPr>
            <w:r w:rsidRPr="005600B5">
              <w:rPr>
                <w:rFonts w:cstheme="minorHAnsi"/>
                <w:sz w:val="24"/>
                <w:szCs w:val="24"/>
                <w:lang w:val="fr-BE"/>
              </w:rPr>
              <w:t xml:space="preserve">En cas de pourvoi en cassation limité </w:t>
            </w:r>
            <w:r w:rsidR="0006159D" w:rsidRPr="005600B5">
              <w:rPr>
                <w:rFonts w:cstheme="minorHAnsi"/>
                <w:sz w:val="24"/>
                <w:szCs w:val="24"/>
                <w:lang w:val="fr-BE"/>
              </w:rPr>
              <w:t xml:space="preserve">: </w:t>
            </w:r>
            <w:r w:rsidRPr="005600B5">
              <w:rPr>
                <w:rFonts w:cstheme="minorHAnsi"/>
                <w:sz w:val="24"/>
                <w:szCs w:val="24"/>
                <w:lang w:val="fr-BE"/>
              </w:rPr>
              <w:t xml:space="preserve">indiqué clairement contre quelles dispositions le pourvoi en cassation est dirigé. </w:t>
            </w:r>
          </w:p>
          <w:p w14:paraId="0F27C848" w14:textId="77777777" w:rsidR="00997D15" w:rsidRPr="005600B5" w:rsidRDefault="00997D15" w:rsidP="00997D15">
            <w:pPr>
              <w:rPr>
                <w:rFonts w:cstheme="minorHAnsi"/>
                <w:sz w:val="24"/>
                <w:szCs w:val="24"/>
                <w:lang w:val="fr-BE"/>
              </w:rPr>
            </w:pPr>
            <w:r w:rsidRPr="005600B5">
              <w:rPr>
                <w:rFonts w:cstheme="minorHAnsi"/>
                <w:sz w:val="24"/>
                <w:szCs w:val="24"/>
                <w:lang w:val="fr-BE"/>
              </w:rPr>
              <w:t>Attention : si le demandeur est à la fois prévenu et partie civile et qu’il veut se pourvoir contre toutes les dispositions qui le concernent, il doit bien préciser qu’il se pourvoit tant en qualité de prévenu qu’en qualité de partie civile</w:t>
            </w:r>
          </w:p>
        </w:tc>
        <w:tc>
          <w:tcPr>
            <w:tcW w:w="723" w:type="dxa"/>
          </w:tcPr>
          <w:p w14:paraId="0F27C849" w14:textId="77777777" w:rsidR="0006159D" w:rsidRPr="005600B5" w:rsidRDefault="0006159D">
            <w:pPr>
              <w:rPr>
                <w:lang w:val="fr-BE"/>
              </w:rPr>
            </w:pPr>
          </w:p>
        </w:tc>
      </w:tr>
      <w:tr w:rsidR="007871EF" w:rsidRPr="0061515F" w14:paraId="0F27C84E" w14:textId="77777777" w:rsidTr="002D1FE9">
        <w:tc>
          <w:tcPr>
            <w:tcW w:w="581" w:type="dxa"/>
          </w:tcPr>
          <w:p w14:paraId="0F27C84B" w14:textId="77777777" w:rsidR="007871EF" w:rsidRPr="005600B5" w:rsidRDefault="00FD6DE2">
            <w:pPr>
              <w:rPr>
                <w:rFonts w:cstheme="minorHAnsi"/>
                <w:b/>
                <w:sz w:val="24"/>
                <w:szCs w:val="24"/>
              </w:rPr>
            </w:pPr>
            <w:r w:rsidRPr="005600B5">
              <w:rPr>
                <w:rFonts w:cstheme="minorHAnsi"/>
                <w:b/>
                <w:sz w:val="24"/>
                <w:szCs w:val="24"/>
              </w:rPr>
              <w:t>5</w:t>
            </w:r>
          </w:p>
        </w:tc>
        <w:tc>
          <w:tcPr>
            <w:tcW w:w="7758" w:type="dxa"/>
          </w:tcPr>
          <w:p w14:paraId="0F27C84C" w14:textId="77777777" w:rsidR="007871EF" w:rsidRPr="005600B5" w:rsidRDefault="00997D15">
            <w:pPr>
              <w:rPr>
                <w:rFonts w:cstheme="minorHAnsi"/>
                <w:b/>
                <w:sz w:val="24"/>
                <w:szCs w:val="24"/>
                <w:lang w:val="fr-BE"/>
              </w:rPr>
            </w:pPr>
            <w:r w:rsidRPr="005600B5">
              <w:rPr>
                <w:rFonts w:cstheme="minorHAnsi"/>
                <w:b/>
                <w:sz w:val="24"/>
                <w:szCs w:val="24"/>
                <w:lang w:val="fr-BE"/>
              </w:rPr>
              <w:t>En ce qui concerne la signification du pourvoi</w:t>
            </w:r>
          </w:p>
        </w:tc>
        <w:tc>
          <w:tcPr>
            <w:tcW w:w="723" w:type="dxa"/>
          </w:tcPr>
          <w:p w14:paraId="0F27C84D" w14:textId="77777777" w:rsidR="007871EF" w:rsidRPr="005600B5" w:rsidRDefault="007871EF">
            <w:pPr>
              <w:rPr>
                <w:lang w:val="fr-BE"/>
              </w:rPr>
            </w:pPr>
          </w:p>
        </w:tc>
      </w:tr>
      <w:tr w:rsidR="007871EF" w:rsidRPr="0061515F" w14:paraId="0F27C853" w14:textId="77777777" w:rsidTr="002D1FE9">
        <w:tc>
          <w:tcPr>
            <w:tcW w:w="581" w:type="dxa"/>
          </w:tcPr>
          <w:p w14:paraId="0F27C84F" w14:textId="77777777" w:rsidR="007871EF" w:rsidRPr="005600B5" w:rsidRDefault="00ED2B13">
            <w:pPr>
              <w:rPr>
                <w:rFonts w:cstheme="minorHAnsi"/>
                <w:sz w:val="24"/>
                <w:szCs w:val="24"/>
              </w:rPr>
            </w:pPr>
            <w:r w:rsidRPr="005600B5">
              <w:rPr>
                <w:rFonts w:cstheme="minorHAnsi"/>
                <w:sz w:val="24"/>
                <w:szCs w:val="24"/>
              </w:rPr>
              <w:t>5</w:t>
            </w:r>
            <w:r w:rsidR="0006159D" w:rsidRPr="005600B5">
              <w:rPr>
                <w:rFonts w:cstheme="minorHAnsi"/>
                <w:sz w:val="24"/>
                <w:szCs w:val="24"/>
              </w:rPr>
              <w:t>.1</w:t>
            </w:r>
          </w:p>
        </w:tc>
        <w:tc>
          <w:tcPr>
            <w:tcW w:w="7758" w:type="dxa"/>
          </w:tcPr>
          <w:p w14:paraId="0F27C850" w14:textId="77777777" w:rsidR="007871EF" w:rsidRPr="005600B5" w:rsidRDefault="00997D15" w:rsidP="002770A7">
            <w:pPr>
              <w:rPr>
                <w:rFonts w:cstheme="minorHAnsi"/>
                <w:sz w:val="24"/>
                <w:szCs w:val="24"/>
                <w:lang w:val="fr-BE"/>
              </w:rPr>
            </w:pPr>
            <w:r w:rsidRPr="005600B5">
              <w:rPr>
                <w:rFonts w:cstheme="minorHAnsi"/>
                <w:sz w:val="24"/>
                <w:szCs w:val="24"/>
                <w:lang w:val="fr-BE"/>
              </w:rPr>
              <w:t>La règle est l’obligation de signifier</w:t>
            </w:r>
            <w:r w:rsidR="006B1C60" w:rsidRPr="005600B5">
              <w:rPr>
                <w:rFonts w:cstheme="minorHAnsi"/>
                <w:sz w:val="24"/>
                <w:szCs w:val="24"/>
                <w:lang w:val="fr-BE"/>
              </w:rPr>
              <w:t>:</w:t>
            </w:r>
            <w:r w:rsidR="006E249B" w:rsidRPr="005600B5">
              <w:rPr>
                <w:rFonts w:cstheme="minorHAnsi"/>
                <w:sz w:val="24"/>
                <w:szCs w:val="24"/>
                <w:lang w:val="fr-BE"/>
              </w:rPr>
              <w:t xml:space="preserve"> </w:t>
            </w:r>
            <w:r w:rsidRPr="005600B5">
              <w:rPr>
                <w:rFonts w:cstheme="minorHAnsi"/>
                <w:sz w:val="24"/>
                <w:szCs w:val="24"/>
                <w:lang w:val="fr-BE"/>
              </w:rPr>
              <w:t>tout demandeur doit faire signifier son pourvoi aux parties contre lesquelles il est dirigé</w:t>
            </w:r>
            <w:r w:rsidR="004B07E0">
              <w:rPr>
                <w:rFonts w:cstheme="minorHAnsi"/>
                <w:sz w:val="24"/>
                <w:szCs w:val="24"/>
                <w:lang w:val="fr-BE"/>
              </w:rPr>
              <w:t xml:space="preserve"> (et non à l’avocat)</w:t>
            </w:r>
            <w:r w:rsidRPr="005600B5">
              <w:rPr>
                <w:rFonts w:cstheme="minorHAnsi"/>
                <w:sz w:val="24"/>
                <w:szCs w:val="24"/>
                <w:lang w:val="fr-BE"/>
              </w:rPr>
              <w:t xml:space="preserve"> et ce, à peine d’irrecevabilité </w:t>
            </w:r>
            <w:r w:rsidR="002770A7" w:rsidRPr="005600B5">
              <w:rPr>
                <w:rFonts w:cstheme="minorHAnsi"/>
                <w:sz w:val="24"/>
                <w:szCs w:val="24"/>
                <w:lang w:val="fr-BE"/>
              </w:rPr>
              <w:t>(</w:t>
            </w:r>
            <w:r w:rsidR="006E249B" w:rsidRPr="005600B5">
              <w:rPr>
                <w:rFonts w:cstheme="minorHAnsi"/>
                <w:sz w:val="24"/>
                <w:szCs w:val="24"/>
                <w:lang w:val="fr-BE"/>
              </w:rPr>
              <w:t>art. 427</w:t>
            </w:r>
            <w:r w:rsidR="00ED2B13" w:rsidRPr="005600B5">
              <w:rPr>
                <w:rFonts w:cstheme="minorHAnsi"/>
                <w:sz w:val="24"/>
                <w:szCs w:val="24"/>
                <w:lang w:val="fr-BE"/>
              </w:rPr>
              <w:t xml:space="preserve">, </w:t>
            </w:r>
            <w:r w:rsidR="00084373" w:rsidRPr="005600B5">
              <w:rPr>
                <w:rFonts w:cstheme="minorHAnsi"/>
                <w:sz w:val="24"/>
                <w:szCs w:val="24"/>
                <w:lang w:val="fr-BE"/>
              </w:rPr>
              <w:t>al. 1er</w:t>
            </w:r>
            <w:r w:rsidR="00ED2B13" w:rsidRPr="005600B5">
              <w:rPr>
                <w:rFonts w:cstheme="minorHAnsi"/>
                <w:sz w:val="24"/>
                <w:szCs w:val="24"/>
                <w:lang w:val="fr-BE"/>
              </w:rPr>
              <w:t xml:space="preserve">, </w:t>
            </w:r>
            <w:r w:rsidRPr="005600B5">
              <w:rPr>
                <w:rFonts w:cstheme="minorHAnsi"/>
                <w:sz w:val="24"/>
                <w:szCs w:val="24"/>
                <w:lang w:val="fr-BE"/>
              </w:rPr>
              <w:t>C.i.cr.</w:t>
            </w:r>
            <w:r w:rsidR="00ED2B13" w:rsidRPr="005600B5">
              <w:rPr>
                <w:rFonts w:cstheme="minorHAnsi"/>
                <w:sz w:val="24"/>
                <w:szCs w:val="24"/>
                <w:lang w:val="fr-BE"/>
              </w:rPr>
              <w:t>)</w:t>
            </w:r>
          </w:p>
          <w:p w14:paraId="0F27C851" w14:textId="77777777" w:rsidR="002770A7" w:rsidRPr="005600B5" w:rsidRDefault="00084373" w:rsidP="00084373">
            <w:pPr>
              <w:rPr>
                <w:rFonts w:cstheme="minorHAnsi"/>
                <w:sz w:val="24"/>
                <w:szCs w:val="24"/>
                <w:lang w:val="fr-BE"/>
              </w:rPr>
            </w:pPr>
            <w:r w:rsidRPr="005600B5">
              <w:rPr>
                <w:rFonts w:cstheme="minorHAnsi"/>
                <w:b/>
                <w:sz w:val="24"/>
                <w:szCs w:val="24"/>
                <w:u w:val="single"/>
                <w:lang w:val="fr-BE"/>
              </w:rPr>
              <w:t>Exception</w:t>
            </w:r>
            <w:r w:rsidR="002770A7" w:rsidRPr="005600B5">
              <w:rPr>
                <w:rFonts w:cstheme="minorHAnsi"/>
                <w:b/>
                <w:sz w:val="24"/>
                <w:szCs w:val="24"/>
                <w:u w:val="single"/>
                <w:lang w:val="fr-BE"/>
              </w:rPr>
              <w:t>:</w:t>
            </w:r>
            <w:r w:rsidR="002770A7" w:rsidRPr="005600B5">
              <w:rPr>
                <w:rFonts w:cstheme="minorHAnsi"/>
                <w:sz w:val="24"/>
                <w:szCs w:val="24"/>
                <w:lang w:val="fr-BE"/>
              </w:rPr>
              <w:t xml:space="preserve"> </w:t>
            </w:r>
            <w:r w:rsidRPr="005600B5">
              <w:rPr>
                <w:rFonts w:cstheme="minorHAnsi"/>
                <w:sz w:val="24"/>
                <w:szCs w:val="24"/>
                <w:lang w:val="fr-BE"/>
              </w:rPr>
              <w:t>la partie poursuivie ne doit pas faire signifier son pourvoi en ce qui concerne la décision rendue sur l’action publique. Sont assimilés à la personne poursuivies : le condamné, l’interné, l’étranger privé de liberté, le mineur d’âge et les parents en ce qui concerne les mesures (protectionnelles)</w:t>
            </w:r>
            <w:r w:rsidR="0059236B" w:rsidRPr="005600B5">
              <w:rPr>
                <w:rFonts w:cstheme="minorHAnsi"/>
                <w:sz w:val="24"/>
                <w:szCs w:val="24"/>
                <w:lang w:val="fr-BE"/>
              </w:rPr>
              <w:t xml:space="preserve"> </w:t>
            </w:r>
            <w:r w:rsidRPr="005600B5">
              <w:rPr>
                <w:rFonts w:cstheme="minorHAnsi"/>
                <w:sz w:val="24"/>
                <w:szCs w:val="24"/>
                <w:lang w:val="fr-BE"/>
              </w:rPr>
              <w:t>prises à leur encontre, la personne dont l’extradition est demandée ou qui fait l’objet d’un mandat d’arrêt européen.</w:t>
            </w:r>
          </w:p>
        </w:tc>
        <w:tc>
          <w:tcPr>
            <w:tcW w:w="723" w:type="dxa"/>
          </w:tcPr>
          <w:p w14:paraId="0F27C852" w14:textId="77777777" w:rsidR="007871EF" w:rsidRPr="005600B5" w:rsidRDefault="007871EF">
            <w:pPr>
              <w:rPr>
                <w:lang w:val="fr-BE"/>
              </w:rPr>
            </w:pPr>
          </w:p>
        </w:tc>
      </w:tr>
      <w:tr w:rsidR="007871EF" w:rsidRPr="0061515F" w14:paraId="0F27C857" w14:textId="77777777" w:rsidTr="002D1FE9">
        <w:tc>
          <w:tcPr>
            <w:tcW w:w="581" w:type="dxa"/>
          </w:tcPr>
          <w:p w14:paraId="0F27C854" w14:textId="77777777" w:rsidR="007871EF" w:rsidRPr="005600B5" w:rsidRDefault="00ED2B13">
            <w:pPr>
              <w:rPr>
                <w:rFonts w:cstheme="minorHAnsi"/>
                <w:sz w:val="24"/>
                <w:szCs w:val="24"/>
              </w:rPr>
            </w:pPr>
            <w:r w:rsidRPr="005600B5">
              <w:rPr>
                <w:rFonts w:cstheme="minorHAnsi"/>
                <w:sz w:val="24"/>
                <w:szCs w:val="24"/>
              </w:rPr>
              <w:t>5</w:t>
            </w:r>
            <w:r w:rsidR="006B1C60" w:rsidRPr="005600B5">
              <w:rPr>
                <w:rFonts w:cstheme="minorHAnsi"/>
                <w:sz w:val="24"/>
                <w:szCs w:val="24"/>
              </w:rPr>
              <w:t>.2</w:t>
            </w:r>
          </w:p>
        </w:tc>
        <w:tc>
          <w:tcPr>
            <w:tcW w:w="7758" w:type="dxa"/>
          </w:tcPr>
          <w:p w14:paraId="0F27C855" w14:textId="77777777" w:rsidR="007871EF" w:rsidRPr="005600B5" w:rsidRDefault="00084373" w:rsidP="00084373">
            <w:pPr>
              <w:rPr>
                <w:rFonts w:cstheme="minorHAnsi"/>
                <w:sz w:val="24"/>
                <w:szCs w:val="24"/>
                <w:lang w:val="fr-BE"/>
              </w:rPr>
            </w:pPr>
            <w:r w:rsidRPr="005600B5">
              <w:rPr>
                <w:rFonts w:cstheme="minorHAnsi"/>
                <w:sz w:val="24"/>
                <w:szCs w:val="24"/>
                <w:lang w:val="fr-BE"/>
              </w:rPr>
              <w:t>Les pièces de signification doivent être déposées en original</w:t>
            </w:r>
            <w:r w:rsidR="00436B2E" w:rsidRPr="005600B5">
              <w:rPr>
                <w:rFonts w:cstheme="minorHAnsi"/>
                <w:sz w:val="24"/>
                <w:szCs w:val="24"/>
                <w:lang w:val="fr-BE"/>
              </w:rPr>
              <w:t xml:space="preserve"> au greffe de la Cour de cassation </w:t>
            </w:r>
            <w:r w:rsidRPr="005600B5">
              <w:rPr>
                <w:rFonts w:cstheme="minorHAnsi"/>
                <w:sz w:val="24"/>
                <w:szCs w:val="24"/>
                <w:lang w:val="fr-BE"/>
              </w:rPr>
              <w:t xml:space="preserve"> dans le délai pour l’introduction des mémoires (2 mois à compter de la déclaration de pourvoi et plus de 15 jours francs avant la date d’audience) </w:t>
            </w:r>
            <w:r w:rsidR="006E249B" w:rsidRPr="005600B5">
              <w:rPr>
                <w:rFonts w:cstheme="minorHAnsi"/>
                <w:sz w:val="24"/>
                <w:szCs w:val="24"/>
                <w:lang w:val="fr-BE"/>
              </w:rPr>
              <w:t xml:space="preserve">(art. 427, </w:t>
            </w:r>
            <w:r w:rsidRPr="005600B5">
              <w:rPr>
                <w:rFonts w:cstheme="minorHAnsi"/>
                <w:sz w:val="24"/>
                <w:szCs w:val="24"/>
                <w:lang w:val="fr-BE"/>
              </w:rPr>
              <w:t xml:space="preserve">alinéa 2 </w:t>
            </w:r>
            <w:r w:rsidR="006E249B" w:rsidRPr="005600B5">
              <w:rPr>
                <w:rFonts w:cstheme="minorHAnsi"/>
                <w:sz w:val="24"/>
                <w:szCs w:val="24"/>
                <w:lang w:val="fr-BE"/>
              </w:rPr>
              <w:t xml:space="preserve"> </w:t>
            </w:r>
            <w:r w:rsidR="00997D15" w:rsidRPr="005600B5">
              <w:rPr>
                <w:rFonts w:cstheme="minorHAnsi"/>
                <w:sz w:val="24"/>
                <w:szCs w:val="24"/>
                <w:lang w:val="fr-BE"/>
              </w:rPr>
              <w:t>C.i.cr.)</w:t>
            </w:r>
            <w:r w:rsidR="006E249B" w:rsidRPr="005600B5">
              <w:rPr>
                <w:rFonts w:cstheme="minorHAnsi"/>
                <w:sz w:val="24"/>
                <w:szCs w:val="24"/>
                <w:lang w:val="fr-BE"/>
              </w:rPr>
              <w:t>)</w:t>
            </w:r>
          </w:p>
        </w:tc>
        <w:tc>
          <w:tcPr>
            <w:tcW w:w="723" w:type="dxa"/>
          </w:tcPr>
          <w:p w14:paraId="0F27C856" w14:textId="77777777" w:rsidR="007871EF" w:rsidRPr="005600B5" w:rsidRDefault="007871EF">
            <w:pPr>
              <w:rPr>
                <w:lang w:val="fr-BE"/>
              </w:rPr>
            </w:pPr>
          </w:p>
        </w:tc>
      </w:tr>
      <w:tr w:rsidR="007871EF" w:rsidRPr="0061515F" w14:paraId="0F27C85B" w14:textId="77777777" w:rsidTr="002D1FE9">
        <w:tc>
          <w:tcPr>
            <w:tcW w:w="581" w:type="dxa"/>
          </w:tcPr>
          <w:p w14:paraId="0F27C858" w14:textId="77777777" w:rsidR="007871EF" w:rsidRPr="005600B5" w:rsidRDefault="00ED2B13">
            <w:pPr>
              <w:rPr>
                <w:rFonts w:cstheme="minorHAnsi"/>
                <w:sz w:val="24"/>
                <w:szCs w:val="24"/>
              </w:rPr>
            </w:pPr>
            <w:r w:rsidRPr="005600B5">
              <w:rPr>
                <w:rFonts w:cstheme="minorHAnsi"/>
                <w:sz w:val="24"/>
                <w:szCs w:val="24"/>
              </w:rPr>
              <w:t>5</w:t>
            </w:r>
            <w:r w:rsidR="006B1C60" w:rsidRPr="005600B5">
              <w:rPr>
                <w:rFonts w:cstheme="minorHAnsi"/>
                <w:sz w:val="24"/>
                <w:szCs w:val="24"/>
              </w:rPr>
              <w:t xml:space="preserve">.3 </w:t>
            </w:r>
          </w:p>
        </w:tc>
        <w:tc>
          <w:tcPr>
            <w:tcW w:w="7758" w:type="dxa"/>
          </w:tcPr>
          <w:p w14:paraId="0F27C859" w14:textId="77777777" w:rsidR="007871EF" w:rsidRPr="005600B5" w:rsidRDefault="00084373" w:rsidP="006B1C60">
            <w:pPr>
              <w:rPr>
                <w:rFonts w:cstheme="minorHAnsi"/>
                <w:sz w:val="24"/>
                <w:szCs w:val="24"/>
                <w:lang w:val="fr-BE"/>
              </w:rPr>
            </w:pPr>
            <w:r w:rsidRPr="005600B5">
              <w:rPr>
                <w:rFonts w:cstheme="minorHAnsi"/>
                <w:sz w:val="24"/>
                <w:szCs w:val="24"/>
                <w:lang w:val="fr-BE"/>
              </w:rPr>
              <w:t>L’original de l’exploit de signification doit être déposé</w:t>
            </w:r>
          </w:p>
        </w:tc>
        <w:tc>
          <w:tcPr>
            <w:tcW w:w="723" w:type="dxa"/>
          </w:tcPr>
          <w:p w14:paraId="0F27C85A" w14:textId="77777777" w:rsidR="007871EF" w:rsidRPr="005600B5" w:rsidRDefault="007871EF">
            <w:pPr>
              <w:rPr>
                <w:lang w:val="fr-BE"/>
              </w:rPr>
            </w:pPr>
          </w:p>
        </w:tc>
      </w:tr>
      <w:tr w:rsidR="006E249B" w:rsidRPr="0061515F" w14:paraId="0F27C85F" w14:textId="77777777" w:rsidTr="002D1FE9">
        <w:tc>
          <w:tcPr>
            <w:tcW w:w="581" w:type="dxa"/>
          </w:tcPr>
          <w:p w14:paraId="0F27C85C" w14:textId="77777777" w:rsidR="006E249B" w:rsidRPr="005600B5" w:rsidRDefault="006E249B">
            <w:pPr>
              <w:rPr>
                <w:rFonts w:cstheme="minorHAnsi"/>
                <w:sz w:val="24"/>
                <w:szCs w:val="24"/>
              </w:rPr>
            </w:pPr>
            <w:r w:rsidRPr="005600B5">
              <w:rPr>
                <w:rFonts w:cstheme="minorHAnsi"/>
                <w:sz w:val="24"/>
                <w:szCs w:val="24"/>
              </w:rPr>
              <w:t>5.4</w:t>
            </w:r>
          </w:p>
        </w:tc>
        <w:tc>
          <w:tcPr>
            <w:tcW w:w="7758" w:type="dxa"/>
          </w:tcPr>
          <w:p w14:paraId="0F27C85D" w14:textId="77777777" w:rsidR="006E249B" w:rsidRPr="005600B5" w:rsidRDefault="00084373" w:rsidP="00084373">
            <w:pPr>
              <w:rPr>
                <w:rFonts w:cstheme="minorHAnsi"/>
                <w:sz w:val="24"/>
                <w:szCs w:val="24"/>
                <w:lang w:val="fr-BE"/>
              </w:rPr>
            </w:pPr>
            <w:r w:rsidRPr="005600B5">
              <w:rPr>
                <w:rFonts w:cstheme="minorHAnsi"/>
                <w:sz w:val="24"/>
                <w:szCs w:val="24"/>
                <w:lang w:val="fr-BE"/>
              </w:rPr>
              <w:t xml:space="preserve">Le ministère public peut signifier son pourvoi en cassation à un détenu ou à un interné par le directeur de l’établissement pénitentiaire ou de soins de l’interné ou son délégué </w:t>
            </w:r>
            <w:r w:rsidR="006E249B" w:rsidRPr="005600B5">
              <w:rPr>
                <w:rFonts w:cstheme="minorHAnsi"/>
                <w:sz w:val="24"/>
                <w:szCs w:val="24"/>
                <w:lang w:val="fr-BE"/>
              </w:rPr>
              <w:t xml:space="preserve">(art. 427, </w:t>
            </w:r>
            <w:r w:rsidRPr="005600B5">
              <w:rPr>
                <w:rFonts w:cstheme="minorHAnsi"/>
                <w:sz w:val="24"/>
                <w:szCs w:val="24"/>
                <w:lang w:val="fr-BE"/>
              </w:rPr>
              <w:t>al. 3</w:t>
            </w:r>
            <w:r w:rsidR="006E249B" w:rsidRPr="005600B5">
              <w:rPr>
                <w:rFonts w:cstheme="minorHAnsi"/>
                <w:sz w:val="24"/>
                <w:szCs w:val="24"/>
                <w:lang w:val="fr-BE"/>
              </w:rPr>
              <w:t xml:space="preserve">, </w:t>
            </w:r>
            <w:r w:rsidR="00997D15" w:rsidRPr="005600B5">
              <w:rPr>
                <w:rFonts w:cstheme="minorHAnsi"/>
                <w:sz w:val="24"/>
                <w:szCs w:val="24"/>
                <w:lang w:val="fr-BE"/>
              </w:rPr>
              <w:t>C.i.cr.)</w:t>
            </w:r>
            <w:r w:rsidR="006E249B" w:rsidRPr="005600B5">
              <w:rPr>
                <w:rFonts w:cstheme="minorHAnsi"/>
                <w:sz w:val="24"/>
                <w:szCs w:val="24"/>
                <w:lang w:val="fr-BE"/>
              </w:rPr>
              <w:t>.)</w:t>
            </w:r>
          </w:p>
        </w:tc>
        <w:tc>
          <w:tcPr>
            <w:tcW w:w="723" w:type="dxa"/>
          </w:tcPr>
          <w:p w14:paraId="0F27C85E" w14:textId="77777777" w:rsidR="006E249B" w:rsidRPr="005600B5" w:rsidRDefault="006E249B">
            <w:pPr>
              <w:rPr>
                <w:lang w:val="fr-BE"/>
              </w:rPr>
            </w:pPr>
          </w:p>
        </w:tc>
      </w:tr>
      <w:tr w:rsidR="007871EF" w:rsidRPr="0061515F" w14:paraId="0F27C863" w14:textId="77777777" w:rsidTr="002D1FE9">
        <w:tc>
          <w:tcPr>
            <w:tcW w:w="581" w:type="dxa"/>
          </w:tcPr>
          <w:p w14:paraId="0F27C860" w14:textId="77777777" w:rsidR="007871EF" w:rsidRPr="005600B5" w:rsidRDefault="00ED2B13">
            <w:pPr>
              <w:rPr>
                <w:rFonts w:cstheme="minorHAnsi"/>
                <w:b/>
                <w:sz w:val="24"/>
                <w:szCs w:val="24"/>
                <w:lang w:val="fr-BE"/>
              </w:rPr>
            </w:pPr>
            <w:r w:rsidRPr="005600B5">
              <w:rPr>
                <w:rFonts w:cstheme="minorHAnsi"/>
                <w:b/>
                <w:sz w:val="24"/>
                <w:szCs w:val="24"/>
                <w:lang w:val="fr-BE"/>
              </w:rPr>
              <w:t>6</w:t>
            </w:r>
          </w:p>
        </w:tc>
        <w:tc>
          <w:tcPr>
            <w:tcW w:w="7758" w:type="dxa"/>
          </w:tcPr>
          <w:p w14:paraId="0F27C861" w14:textId="77777777" w:rsidR="007871EF" w:rsidRPr="005600B5" w:rsidRDefault="00084373">
            <w:pPr>
              <w:rPr>
                <w:rFonts w:cstheme="minorHAnsi"/>
                <w:b/>
                <w:sz w:val="24"/>
                <w:szCs w:val="24"/>
                <w:lang w:val="fr-BE"/>
              </w:rPr>
            </w:pPr>
            <w:r w:rsidRPr="005600B5">
              <w:rPr>
                <w:rFonts w:cstheme="minorHAnsi"/>
                <w:b/>
                <w:sz w:val="24"/>
                <w:szCs w:val="24"/>
                <w:lang w:val="fr-BE"/>
              </w:rPr>
              <w:t>En ce qui concerne l’introduction du mémoire</w:t>
            </w:r>
          </w:p>
        </w:tc>
        <w:tc>
          <w:tcPr>
            <w:tcW w:w="723" w:type="dxa"/>
          </w:tcPr>
          <w:p w14:paraId="0F27C862" w14:textId="77777777" w:rsidR="007871EF" w:rsidRPr="005600B5" w:rsidRDefault="007871EF">
            <w:pPr>
              <w:rPr>
                <w:lang w:val="fr-BE"/>
              </w:rPr>
            </w:pPr>
          </w:p>
        </w:tc>
      </w:tr>
      <w:tr w:rsidR="007871EF" w:rsidRPr="005600B5" w14:paraId="0F27C867" w14:textId="77777777" w:rsidTr="002D1FE9">
        <w:tc>
          <w:tcPr>
            <w:tcW w:w="581" w:type="dxa"/>
          </w:tcPr>
          <w:p w14:paraId="0F27C864" w14:textId="77777777" w:rsidR="007871EF" w:rsidRPr="005600B5" w:rsidRDefault="00ED2B13">
            <w:pPr>
              <w:rPr>
                <w:rFonts w:cstheme="minorHAnsi"/>
                <w:sz w:val="24"/>
                <w:szCs w:val="24"/>
                <w:lang w:val="fr-BE"/>
              </w:rPr>
            </w:pPr>
            <w:r w:rsidRPr="005600B5">
              <w:rPr>
                <w:rFonts w:cstheme="minorHAnsi"/>
                <w:sz w:val="24"/>
                <w:szCs w:val="24"/>
                <w:lang w:val="fr-BE"/>
              </w:rPr>
              <w:t>6.1</w:t>
            </w:r>
          </w:p>
        </w:tc>
        <w:tc>
          <w:tcPr>
            <w:tcW w:w="7758" w:type="dxa"/>
          </w:tcPr>
          <w:p w14:paraId="0F27C865" w14:textId="77777777" w:rsidR="007871EF" w:rsidRPr="005600B5" w:rsidRDefault="00084373" w:rsidP="00084373">
            <w:pPr>
              <w:rPr>
                <w:rFonts w:cstheme="minorHAnsi"/>
                <w:sz w:val="24"/>
                <w:szCs w:val="24"/>
              </w:rPr>
            </w:pPr>
            <w:r w:rsidRPr="005600B5">
              <w:rPr>
                <w:rFonts w:cstheme="minorHAnsi"/>
                <w:sz w:val="24"/>
                <w:szCs w:val="24"/>
                <w:lang w:val="fr-BE"/>
              </w:rPr>
              <w:t xml:space="preserve">Le mémoire est-il signé par un avocat attesté </w:t>
            </w:r>
            <w:r w:rsidR="00ED2B13" w:rsidRPr="005600B5">
              <w:rPr>
                <w:rFonts w:cstheme="minorHAnsi"/>
                <w:sz w:val="24"/>
                <w:szCs w:val="24"/>
                <w:lang w:val="fr-BE"/>
              </w:rPr>
              <w:t>?</w:t>
            </w:r>
            <w:r w:rsidR="006E249B" w:rsidRPr="005600B5">
              <w:rPr>
                <w:rFonts w:cstheme="minorHAnsi"/>
                <w:sz w:val="24"/>
                <w:szCs w:val="24"/>
                <w:lang w:val="fr-BE"/>
              </w:rPr>
              <w:t xml:space="preserve"> </w:t>
            </w:r>
            <w:r w:rsidR="006E249B" w:rsidRPr="005600B5">
              <w:rPr>
                <w:rFonts w:cstheme="minorHAnsi"/>
                <w:sz w:val="24"/>
                <w:szCs w:val="24"/>
              </w:rPr>
              <w:t xml:space="preserve">(art. 429, </w:t>
            </w:r>
            <w:r w:rsidRPr="005600B5">
              <w:rPr>
                <w:rFonts w:cstheme="minorHAnsi"/>
                <w:sz w:val="24"/>
                <w:szCs w:val="24"/>
              </w:rPr>
              <w:t>al. 1er,</w:t>
            </w:r>
            <w:r w:rsidR="00997D15" w:rsidRPr="005600B5">
              <w:rPr>
                <w:rFonts w:cstheme="minorHAnsi"/>
                <w:sz w:val="24"/>
                <w:szCs w:val="24"/>
              </w:rPr>
              <w:t xml:space="preserve"> C.i.cr.)</w:t>
            </w:r>
            <w:r w:rsidR="006E249B" w:rsidRPr="005600B5">
              <w:rPr>
                <w:rFonts w:cstheme="minorHAnsi"/>
                <w:sz w:val="24"/>
                <w:szCs w:val="24"/>
              </w:rPr>
              <w:t>.)</w:t>
            </w:r>
          </w:p>
        </w:tc>
        <w:tc>
          <w:tcPr>
            <w:tcW w:w="723" w:type="dxa"/>
          </w:tcPr>
          <w:p w14:paraId="0F27C866" w14:textId="77777777" w:rsidR="007871EF" w:rsidRPr="005600B5" w:rsidRDefault="007871EF"/>
        </w:tc>
      </w:tr>
      <w:tr w:rsidR="007871EF" w:rsidRPr="0061515F" w14:paraId="0F27C86B" w14:textId="77777777" w:rsidTr="002D1FE9">
        <w:tc>
          <w:tcPr>
            <w:tcW w:w="581" w:type="dxa"/>
          </w:tcPr>
          <w:p w14:paraId="0F27C868" w14:textId="77777777" w:rsidR="007871EF" w:rsidRPr="005600B5" w:rsidRDefault="00ED2B13">
            <w:pPr>
              <w:rPr>
                <w:rFonts w:cstheme="minorHAnsi"/>
                <w:sz w:val="24"/>
                <w:szCs w:val="24"/>
              </w:rPr>
            </w:pPr>
            <w:r w:rsidRPr="005600B5">
              <w:rPr>
                <w:rFonts w:cstheme="minorHAnsi"/>
                <w:sz w:val="24"/>
                <w:szCs w:val="24"/>
              </w:rPr>
              <w:t>6.2.</w:t>
            </w:r>
          </w:p>
        </w:tc>
        <w:tc>
          <w:tcPr>
            <w:tcW w:w="7758" w:type="dxa"/>
          </w:tcPr>
          <w:p w14:paraId="0F27C869" w14:textId="77777777" w:rsidR="007871EF" w:rsidRPr="005600B5" w:rsidRDefault="00084373" w:rsidP="00084373">
            <w:pPr>
              <w:rPr>
                <w:rFonts w:cstheme="minorHAnsi"/>
                <w:sz w:val="24"/>
                <w:szCs w:val="24"/>
                <w:lang w:val="fr-BE"/>
              </w:rPr>
            </w:pPr>
            <w:r w:rsidRPr="005600B5">
              <w:rPr>
                <w:rFonts w:cstheme="minorHAnsi"/>
                <w:sz w:val="24"/>
                <w:szCs w:val="24"/>
                <w:lang w:val="fr-BE"/>
              </w:rPr>
              <w:t xml:space="preserve">Le mémoire est-il introduit dans les délais </w:t>
            </w:r>
            <w:r w:rsidR="006E249B" w:rsidRPr="005600B5">
              <w:rPr>
                <w:rFonts w:cstheme="minorHAnsi"/>
                <w:sz w:val="24"/>
                <w:szCs w:val="24"/>
                <w:lang w:val="fr-BE"/>
              </w:rPr>
              <w:t xml:space="preserve">? </w:t>
            </w:r>
            <w:r w:rsidRPr="005600B5">
              <w:rPr>
                <w:rFonts w:cstheme="minorHAnsi"/>
                <w:sz w:val="24"/>
                <w:szCs w:val="24"/>
                <w:lang w:val="fr-BE"/>
              </w:rPr>
              <w:t xml:space="preserve">Le délai est de maximum deux mois à compter de la date du pourvoi et de 15 jours francs avant l’audience. Les délais  doivent tous les deux être respectés </w:t>
            </w:r>
            <w:r w:rsidR="006E249B" w:rsidRPr="005600B5">
              <w:rPr>
                <w:rFonts w:cstheme="minorHAnsi"/>
                <w:sz w:val="24"/>
                <w:szCs w:val="24"/>
                <w:lang w:val="fr-BE"/>
              </w:rPr>
              <w:t xml:space="preserve"> (art. 429, </w:t>
            </w:r>
            <w:r w:rsidRPr="005600B5">
              <w:rPr>
                <w:rFonts w:cstheme="minorHAnsi"/>
                <w:sz w:val="24"/>
                <w:szCs w:val="24"/>
                <w:lang w:val="fr-BE"/>
              </w:rPr>
              <w:t>al. 1 et 2</w:t>
            </w:r>
            <w:r w:rsidR="006E249B" w:rsidRPr="005600B5">
              <w:rPr>
                <w:rFonts w:cstheme="minorHAnsi"/>
                <w:sz w:val="24"/>
                <w:szCs w:val="24"/>
                <w:lang w:val="fr-BE"/>
              </w:rPr>
              <w:t xml:space="preserve">, </w:t>
            </w:r>
            <w:r w:rsidR="00997D15" w:rsidRPr="005600B5">
              <w:rPr>
                <w:rFonts w:cstheme="minorHAnsi"/>
                <w:sz w:val="24"/>
                <w:szCs w:val="24"/>
                <w:lang w:val="fr-BE"/>
              </w:rPr>
              <w:t>C.i.cr.)</w:t>
            </w:r>
          </w:p>
        </w:tc>
        <w:tc>
          <w:tcPr>
            <w:tcW w:w="723" w:type="dxa"/>
          </w:tcPr>
          <w:p w14:paraId="0F27C86A" w14:textId="77777777" w:rsidR="007871EF" w:rsidRPr="005600B5" w:rsidRDefault="007871EF">
            <w:pPr>
              <w:rPr>
                <w:lang w:val="fr-BE"/>
              </w:rPr>
            </w:pPr>
          </w:p>
        </w:tc>
      </w:tr>
      <w:tr w:rsidR="007871EF" w:rsidRPr="0061515F" w14:paraId="0F27C86F" w14:textId="77777777" w:rsidTr="002D1FE9">
        <w:tc>
          <w:tcPr>
            <w:tcW w:w="581" w:type="dxa"/>
          </w:tcPr>
          <w:p w14:paraId="0F27C86C" w14:textId="77777777" w:rsidR="007871EF" w:rsidRPr="005600B5" w:rsidRDefault="00ED2B13">
            <w:pPr>
              <w:rPr>
                <w:rFonts w:cstheme="minorHAnsi"/>
                <w:sz w:val="24"/>
                <w:szCs w:val="24"/>
              </w:rPr>
            </w:pPr>
            <w:r w:rsidRPr="005600B5">
              <w:rPr>
                <w:rFonts w:cstheme="minorHAnsi"/>
                <w:sz w:val="24"/>
                <w:szCs w:val="24"/>
              </w:rPr>
              <w:t>6.3.</w:t>
            </w:r>
          </w:p>
        </w:tc>
        <w:tc>
          <w:tcPr>
            <w:tcW w:w="7758" w:type="dxa"/>
          </w:tcPr>
          <w:p w14:paraId="0F27C86D" w14:textId="77777777" w:rsidR="007871EF" w:rsidRPr="005600B5" w:rsidRDefault="00084373">
            <w:pPr>
              <w:rPr>
                <w:rFonts w:cstheme="minorHAnsi"/>
                <w:sz w:val="24"/>
                <w:szCs w:val="24"/>
                <w:lang w:val="fr-BE"/>
              </w:rPr>
            </w:pPr>
            <w:r w:rsidRPr="005600B5">
              <w:rPr>
                <w:rFonts w:cstheme="minorHAnsi"/>
                <w:sz w:val="24"/>
                <w:szCs w:val="24"/>
                <w:lang w:val="fr-BE"/>
              </w:rPr>
              <w:t>Le mémoire indique-t-il de façon précise et claire</w:t>
            </w:r>
            <w:r w:rsidR="00436B2E" w:rsidRPr="005600B5">
              <w:rPr>
                <w:rFonts w:cstheme="minorHAnsi"/>
                <w:sz w:val="24"/>
                <w:szCs w:val="24"/>
                <w:lang w:val="fr-BE"/>
              </w:rPr>
              <w:t xml:space="preserve"> quelles sont les illégalités dont est entachée la décision attaquée ?</w:t>
            </w:r>
          </w:p>
        </w:tc>
        <w:tc>
          <w:tcPr>
            <w:tcW w:w="723" w:type="dxa"/>
          </w:tcPr>
          <w:p w14:paraId="0F27C86E" w14:textId="77777777" w:rsidR="007871EF" w:rsidRPr="005600B5" w:rsidRDefault="007871EF">
            <w:pPr>
              <w:rPr>
                <w:lang w:val="fr-BE"/>
              </w:rPr>
            </w:pPr>
          </w:p>
        </w:tc>
      </w:tr>
      <w:tr w:rsidR="007871EF" w:rsidRPr="0061515F" w14:paraId="0F27C873" w14:textId="77777777" w:rsidTr="002D1FE9">
        <w:tc>
          <w:tcPr>
            <w:tcW w:w="581" w:type="dxa"/>
          </w:tcPr>
          <w:p w14:paraId="0F27C870" w14:textId="77777777" w:rsidR="007871EF" w:rsidRPr="005600B5" w:rsidRDefault="00ED2B13">
            <w:pPr>
              <w:rPr>
                <w:rFonts w:cstheme="minorHAnsi"/>
                <w:b/>
                <w:sz w:val="24"/>
                <w:szCs w:val="24"/>
              </w:rPr>
            </w:pPr>
            <w:r w:rsidRPr="005600B5">
              <w:rPr>
                <w:rFonts w:cstheme="minorHAnsi"/>
                <w:b/>
                <w:sz w:val="24"/>
                <w:szCs w:val="24"/>
              </w:rPr>
              <w:t>7</w:t>
            </w:r>
          </w:p>
        </w:tc>
        <w:tc>
          <w:tcPr>
            <w:tcW w:w="7758" w:type="dxa"/>
          </w:tcPr>
          <w:p w14:paraId="0F27C871" w14:textId="77777777" w:rsidR="007871EF" w:rsidRPr="005600B5" w:rsidRDefault="00436B2E">
            <w:pPr>
              <w:rPr>
                <w:rFonts w:cstheme="minorHAnsi"/>
                <w:b/>
                <w:sz w:val="24"/>
                <w:szCs w:val="24"/>
                <w:lang w:val="fr-BE"/>
              </w:rPr>
            </w:pPr>
            <w:r w:rsidRPr="005600B5">
              <w:rPr>
                <w:rFonts w:cstheme="minorHAnsi"/>
                <w:b/>
                <w:sz w:val="24"/>
                <w:szCs w:val="24"/>
                <w:lang w:val="fr-BE"/>
              </w:rPr>
              <w:t>En ce qui concerne la notification du mémoire</w:t>
            </w:r>
          </w:p>
        </w:tc>
        <w:tc>
          <w:tcPr>
            <w:tcW w:w="723" w:type="dxa"/>
          </w:tcPr>
          <w:p w14:paraId="0F27C872" w14:textId="77777777" w:rsidR="007871EF" w:rsidRPr="005600B5" w:rsidRDefault="007871EF">
            <w:pPr>
              <w:rPr>
                <w:lang w:val="fr-BE"/>
              </w:rPr>
            </w:pPr>
          </w:p>
        </w:tc>
      </w:tr>
      <w:tr w:rsidR="007871EF" w:rsidRPr="0061515F" w14:paraId="0F27C879" w14:textId="77777777" w:rsidTr="002D1FE9">
        <w:tc>
          <w:tcPr>
            <w:tcW w:w="581" w:type="dxa"/>
          </w:tcPr>
          <w:p w14:paraId="0F27C874" w14:textId="77777777" w:rsidR="007871EF" w:rsidRPr="005600B5" w:rsidRDefault="00ED2B13">
            <w:pPr>
              <w:rPr>
                <w:rFonts w:cstheme="minorHAnsi"/>
                <w:sz w:val="24"/>
                <w:szCs w:val="24"/>
              </w:rPr>
            </w:pPr>
            <w:r w:rsidRPr="005600B5">
              <w:rPr>
                <w:rFonts w:cstheme="minorHAnsi"/>
                <w:sz w:val="24"/>
                <w:szCs w:val="24"/>
              </w:rPr>
              <w:t>7.1</w:t>
            </w:r>
          </w:p>
        </w:tc>
        <w:tc>
          <w:tcPr>
            <w:tcW w:w="7758" w:type="dxa"/>
          </w:tcPr>
          <w:p w14:paraId="0F27C875" w14:textId="77777777" w:rsidR="00436B2E" w:rsidRPr="005600B5" w:rsidRDefault="00436B2E" w:rsidP="002770A7">
            <w:pPr>
              <w:rPr>
                <w:rFonts w:cstheme="minorHAnsi"/>
                <w:sz w:val="24"/>
                <w:szCs w:val="24"/>
                <w:lang w:val="fr-BE"/>
              </w:rPr>
            </w:pPr>
            <w:r w:rsidRPr="005600B5">
              <w:rPr>
                <w:rFonts w:cstheme="minorHAnsi"/>
                <w:sz w:val="24"/>
                <w:szCs w:val="24"/>
                <w:lang w:val="fr-BE"/>
              </w:rPr>
              <w:t>Le mémoire doit être notifié par lettre recommandée à la poste à toutes les parties contre lesquelles le pourvoi est dirigé (et donc pas à leur avocat)</w:t>
            </w:r>
          </w:p>
          <w:p w14:paraId="0F27C876" w14:textId="77777777" w:rsidR="007871EF" w:rsidRPr="005600B5" w:rsidRDefault="006E249B" w:rsidP="002770A7">
            <w:pPr>
              <w:rPr>
                <w:rFonts w:cstheme="minorHAnsi"/>
                <w:sz w:val="24"/>
                <w:szCs w:val="24"/>
                <w:lang w:val="fr-BE"/>
              </w:rPr>
            </w:pPr>
            <w:r w:rsidRPr="005600B5">
              <w:rPr>
                <w:rFonts w:cstheme="minorHAnsi"/>
                <w:sz w:val="24"/>
                <w:szCs w:val="24"/>
                <w:lang w:val="fr-BE"/>
              </w:rPr>
              <w:t xml:space="preserve"> (art. 429, </w:t>
            </w:r>
            <w:r w:rsidR="00436B2E" w:rsidRPr="005600B5">
              <w:rPr>
                <w:rFonts w:cstheme="minorHAnsi"/>
                <w:sz w:val="24"/>
                <w:szCs w:val="24"/>
                <w:lang w:val="fr-BE"/>
              </w:rPr>
              <w:t>al. 4</w:t>
            </w:r>
            <w:r w:rsidRPr="005600B5">
              <w:rPr>
                <w:rFonts w:cstheme="minorHAnsi"/>
                <w:sz w:val="24"/>
                <w:szCs w:val="24"/>
                <w:lang w:val="fr-BE"/>
              </w:rPr>
              <w:t xml:space="preserve">, </w:t>
            </w:r>
            <w:r w:rsidR="00997D15" w:rsidRPr="005600B5">
              <w:rPr>
                <w:rFonts w:cstheme="minorHAnsi"/>
                <w:sz w:val="24"/>
                <w:szCs w:val="24"/>
                <w:lang w:val="fr-BE"/>
              </w:rPr>
              <w:t>C.i.cr.)</w:t>
            </w:r>
          </w:p>
          <w:p w14:paraId="0F27C877" w14:textId="77777777" w:rsidR="002770A7" w:rsidRPr="005600B5" w:rsidRDefault="00436B2E" w:rsidP="00A27E0C">
            <w:pPr>
              <w:rPr>
                <w:rFonts w:cstheme="minorHAnsi"/>
                <w:sz w:val="24"/>
                <w:szCs w:val="24"/>
                <w:lang w:val="fr-BE"/>
              </w:rPr>
            </w:pPr>
            <w:r w:rsidRPr="005600B5">
              <w:rPr>
                <w:rFonts w:cstheme="minorHAnsi"/>
                <w:b/>
                <w:sz w:val="24"/>
                <w:szCs w:val="24"/>
                <w:u w:val="single"/>
                <w:lang w:val="fr-BE"/>
              </w:rPr>
              <w:t xml:space="preserve">Exception </w:t>
            </w:r>
            <w:r w:rsidR="00A27E0C" w:rsidRPr="005600B5">
              <w:rPr>
                <w:rFonts w:cstheme="minorHAnsi"/>
                <w:b/>
                <w:sz w:val="24"/>
                <w:szCs w:val="24"/>
                <w:u w:val="single"/>
                <w:lang w:val="fr-BE"/>
              </w:rPr>
              <w:t xml:space="preserve">: </w:t>
            </w:r>
            <w:r w:rsidRPr="005600B5">
              <w:rPr>
                <w:rFonts w:cstheme="minorHAnsi"/>
                <w:sz w:val="24"/>
                <w:szCs w:val="24"/>
                <w:lang w:val="fr-BE"/>
              </w:rPr>
              <w:t>cette obligation ne repose pas sur la personne poursuivie et les personnes qui y sont assimilées (</w:t>
            </w:r>
            <w:proofErr w:type="spellStart"/>
            <w:r w:rsidRPr="005600B5">
              <w:rPr>
                <w:rFonts w:cstheme="minorHAnsi"/>
                <w:sz w:val="24"/>
                <w:szCs w:val="24"/>
                <w:lang w:val="fr-BE"/>
              </w:rPr>
              <w:t>voy</w:t>
            </w:r>
            <w:proofErr w:type="spellEnd"/>
            <w:r w:rsidRPr="005600B5">
              <w:rPr>
                <w:rFonts w:cstheme="minorHAnsi"/>
                <w:sz w:val="24"/>
                <w:szCs w:val="24"/>
                <w:lang w:val="fr-BE"/>
              </w:rPr>
              <w:t>; ci-dessus, la signification du pourvoi).</w:t>
            </w:r>
          </w:p>
        </w:tc>
        <w:tc>
          <w:tcPr>
            <w:tcW w:w="723" w:type="dxa"/>
          </w:tcPr>
          <w:p w14:paraId="0F27C878" w14:textId="77777777" w:rsidR="007871EF" w:rsidRPr="005600B5" w:rsidRDefault="007871EF">
            <w:pPr>
              <w:rPr>
                <w:lang w:val="fr-BE"/>
              </w:rPr>
            </w:pPr>
          </w:p>
        </w:tc>
      </w:tr>
      <w:tr w:rsidR="007871EF" w:rsidRPr="0061515F" w14:paraId="0F27C87D" w14:textId="77777777" w:rsidTr="002D1FE9">
        <w:tc>
          <w:tcPr>
            <w:tcW w:w="581" w:type="dxa"/>
          </w:tcPr>
          <w:p w14:paraId="0F27C87A" w14:textId="77777777" w:rsidR="007871EF" w:rsidRPr="005600B5" w:rsidRDefault="00ED2B13">
            <w:pPr>
              <w:rPr>
                <w:rFonts w:cstheme="minorHAnsi"/>
                <w:sz w:val="24"/>
                <w:szCs w:val="24"/>
              </w:rPr>
            </w:pPr>
            <w:r w:rsidRPr="005600B5">
              <w:rPr>
                <w:rFonts w:cstheme="minorHAnsi"/>
                <w:sz w:val="24"/>
                <w:szCs w:val="24"/>
              </w:rPr>
              <w:lastRenderedPageBreak/>
              <w:t>7.2.</w:t>
            </w:r>
          </w:p>
        </w:tc>
        <w:tc>
          <w:tcPr>
            <w:tcW w:w="7758" w:type="dxa"/>
          </w:tcPr>
          <w:p w14:paraId="0F27C87B" w14:textId="77777777" w:rsidR="007871EF" w:rsidRPr="00436B2E" w:rsidRDefault="00436B2E" w:rsidP="00436B2E">
            <w:pPr>
              <w:rPr>
                <w:rFonts w:cstheme="minorHAnsi"/>
                <w:sz w:val="24"/>
                <w:szCs w:val="24"/>
                <w:lang w:val="fr-BE"/>
              </w:rPr>
            </w:pPr>
            <w:r w:rsidRPr="005600B5">
              <w:rPr>
                <w:rFonts w:cstheme="minorHAnsi"/>
                <w:sz w:val="24"/>
                <w:szCs w:val="24"/>
                <w:lang w:val="fr-BE"/>
              </w:rPr>
              <w:t xml:space="preserve">La preuve de la notification par envoi recommandé doit être déposée au greffe de la Cour dans les délais pour l’introduction des mémoires et ce, à peine d’irrecevabilité du mémoire  </w:t>
            </w:r>
            <w:r w:rsidR="00ED2B13" w:rsidRPr="005600B5">
              <w:rPr>
                <w:rFonts w:cstheme="minorHAnsi"/>
                <w:sz w:val="24"/>
                <w:szCs w:val="24"/>
                <w:lang w:val="fr-BE"/>
              </w:rPr>
              <w:t xml:space="preserve"> </w:t>
            </w:r>
            <w:r w:rsidR="006E249B" w:rsidRPr="005600B5">
              <w:rPr>
                <w:rFonts w:cstheme="minorHAnsi"/>
                <w:sz w:val="24"/>
                <w:szCs w:val="24"/>
                <w:lang w:val="fr-BE"/>
              </w:rPr>
              <w:t xml:space="preserve">(art. 429, </w:t>
            </w:r>
            <w:r w:rsidRPr="005600B5">
              <w:rPr>
                <w:rFonts w:cstheme="minorHAnsi"/>
                <w:sz w:val="24"/>
                <w:szCs w:val="24"/>
                <w:lang w:val="fr-BE"/>
              </w:rPr>
              <w:t>al. 4</w:t>
            </w:r>
            <w:r w:rsidR="006E249B" w:rsidRPr="005600B5">
              <w:rPr>
                <w:rFonts w:cstheme="minorHAnsi"/>
                <w:sz w:val="24"/>
                <w:szCs w:val="24"/>
                <w:lang w:val="fr-BE"/>
              </w:rPr>
              <w:t xml:space="preserve">, </w:t>
            </w:r>
            <w:r w:rsidR="00997D15" w:rsidRPr="005600B5">
              <w:rPr>
                <w:rFonts w:cstheme="minorHAnsi"/>
                <w:sz w:val="24"/>
                <w:szCs w:val="24"/>
                <w:lang w:val="fr-BE"/>
              </w:rPr>
              <w:t>C.i.cr.)</w:t>
            </w:r>
          </w:p>
        </w:tc>
        <w:tc>
          <w:tcPr>
            <w:tcW w:w="723" w:type="dxa"/>
          </w:tcPr>
          <w:p w14:paraId="0F27C87C" w14:textId="77777777" w:rsidR="007871EF" w:rsidRPr="00436B2E" w:rsidRDefault="007871EF">
            <w:pPr>
              <w:rPr>
                <w:lang w:val="fr-BE"/>
              </w:rPr>
            </w:pPr>
          </w:p>
        </w:tc>
      </w:tr>
    </w:tbl>
    <w:p w14:paraId="0F27C87E" w14:textId="77777777" w:rsidR="002D40B5" w:rsidRPr="00436B2E" w:rsidRDefault="002D40B5" w:rsidP="006B1C60">
      <w:pPr>
        <w:rPr>
          <w:lang w:val="fr-BE"/>
        </w:rPr>
      </w:pPr>
    </w:p>
    <w:sectPr w:rsidR="002D40B5" w:rsidRPr="00436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06993"/>
    <w:multiLevelType w:val="hybridMultilevel"/>
    <w:tmpl w:val="69208D36"/>
    <w:lvl w:ilvl="0" w:tplc="2EDAD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76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FF"/>
    <w:rsid w:val="0006159D"/>
    <w:rsid w:val="000837E7"/>
    <w:rsid w:val="00084373"/>
    <w:rsid w:val="000D57AD"/>
    <w:rsid w:val="00192060"/>
    <w:rsid w:val="00234727"/>
    <w:rsid w:val="00246B50"/>
    <w:rsid w:val="00257069"/>
    <w:rsid w:val="002770A7"/>
    <w:rsid w:val="00283ABD"/>
    <w:rsid w:val="002878D1"/>
    <w:rsid w:val="002D1FE9"/>
    <w:rsid w:val="002D40B5"/>
    <w:rsid w:val="003A01F0"/>
    <w:rsid w:val="00436B2E"/>
    <w:rsid w:val="004B07E0"/>
    <w:rsid w:val="004E5F39"/>
    <w:rsid w:val="005600B5"/>
    <w:rsid w:val="0059236B"/>
    <w:rsid w:val="0061096D"/>
    <w:rsid w:val="0061515F"/>
    <w:rsid w:val="00665EF7"/>
    <w:rsid w:val="006B1C60"/>
    <w:rsid w:val="006B53A6"/>
    <w:rsid w:val="006E249B"/>
    <w:rsid w:val="007871EF"/>
    <w:rsid w:val="0086734A"/>
    <w:rsid w:val="008F5BF4"/>
    <w:rsid w:val="00972D3A"/>
    <w:rsid w:val="009757FF"/>
    <w:rsid w:val="00997D15"/>
    <w:rsid w:val="00A05D89"/>
    <w:rsid w:val="00A11D49"/>
    <w:rsid w:val="00A27E0C"/>
    <w:rsid w:val="00A67DD8"/>
    <w:rsid w:val="00AE4727"/>
    <w:rsid w:val="00B12A8B"/>
    <w:rsid w:val="00CD3443"/>
    <w:rsid w:val="00EA72D4"/>
    <w:rsid w:val="00ED2B13"/>
    <w:rsid w:val="00F37BF4"/>
    <w:rsid w:val="00FC0458"/>
    <w:rsid w:val="00FC0E69"/>
    <w:rsid w:val="00FD6DE2"/>
    <w:rsid w:val="00FF34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C7F9"/>
  <w15:docId w15:val="{DD3A07DE-CFB9-4C57-B670-9BA9B7A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2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0B0DBC3792240A32AE8309ADAB4BA" ma:contentTypeVersion="16" ma:contentTypeDescription="Crée un document." ma:contentTypeScope="" ma:versionID="5bb529020e04a5e2d212603a69155671">
  <xsd:schema xmlns:xsd="http://www.w3.org/2001/XMLSchema" xmlns:xs="http://www.w3.org/2001/XMLSchema" xmlns:p="http://schemas.microsoft.com/office/2006/metadata/properties" xmlns:ns2="3878b5e6-8fd2-434e-9434-cc6c91ee3c23" xmlns:ns3="e64f0573-2aa6-410e-b052-ad15218932c6" targetNamespace="http://schemas.microsoft.com/office/2006/metadata/properties" ma:root="true" ma:fieldsID="17a69b562aa2e58d659e54b34a465976" ns2:_="" ns3:_="">
    <xsd:import namespace="3878b5e6-8fd2-434e-9434-cc6c91ee3c23"/>
    <xsd:import namespace="e64f0573-2aa6-410e-b052-ad1521893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8b5e6-8fd2-434e-9434-cc6c91ee3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e9e1b44-e06c-4f1a-bb83-cd157cb82e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f0573-2aa6-410e-b052-ad15218932c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ff1a2d-40e0-46d7-b1aa-b8e0b20d4f6b}" ma:internalName="TaxCatchAll" ma:showField="CatchAllData" ma:web="e64f0573-2aa6-410e-b052-ad1521893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4f0573-2aa6-410e-b052-ad15218932c6" xsi:nil="true"/>
    <lcf76f155ced4ddcb4097134ff3c332f xmlns="3878b5e6-8fd2-434e-9434-cc6c91ee3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AF1E3-E363-4799-8EEE-EB77DEDB433E}"/>
</file>

<file path=customXml/itemProps2.xml><?xml version="1.0" encoding="utf-8"?>
<ds:datastoreItem xmlns:ds="http://schemas.openxmlformats.org/officeDocument/2006/customXml" ds:itemID="{CA41C4F2-9765-487F-AE38-614AD7E518D6}"/>
</file>

<file path=customXml/itemProps3.xml><?xml version="1.0" encoding="utf-8"?>
<ds:datastoreItem xmlns:ds="http://schemas.openxmlformats.org/officeDocument/2006/customXml" ds:itemID="{37B50181-1790-47C3-97CD-58F9ABD22170}"/>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5159</Characters>
  <Application>Microsoft Office Word</Application>
  <DocSecurity>4</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Michèle Savonet</cp:lastModifiedBy>
  <cp:revision>2</cp:revision>
  <dcterms:created xsi:type="dcterms:W3CDTF">2025-04-03T07:57:00Z</dcterms:created>
  <dcterms:modified xsi:type="dcterms:W3CDTF">2025-04-03T07:57:00Z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0x0101000190B0DBC3792240A32AE8309ADAB4BA</vt:lpwstr>
  </property>
</Properties>
</file>